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CB1B">
      <w:pPr>
        <w:spacing w:line="1040" w:lineRule="exact"/>
        <w:ind w:firstLine="1205"/>
        <w:jc w:val="left"/>
        <w:rPr>
          <w:rFonts w:hint="eastAsia" w:ascii="宋体" w:hAnsi="宋体" w:eastAsia="宋体" w:cs="宋体"/>
          <w:b/>
          <w:sz w:val="40"/>
          <w:szCs w:val="40"/>
          <w:highlight w:val="none"/>
        </w:rPr>
      </w:pPr>
      <w:r>
        <w:rPr>
          <w:rFonts w:hint="eastAsia" w:ascii="宋体" w:hAnsi="宋体" w:eastAsia="宋体" w:cs="宋体"/>
          <w:b/>
          <w:sz w:val="40"/>
          <w:szCs w:val="40"/>
          <w:highlight w:val="none"/>
        </w:rPr>
        <w:t>“全流程不见面交易”竞争性磋商文件</w:t>
      </w:r>
    </w:p>
    <w:p w14:paraId="500C6DAC">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 xml:space="preserve"> </w:t>
      </w:r>
    </w:p>
    <w:p w14:paraId="28F4A2D4">
      <w:pPr>
        <w:ind w:firstLine="192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14:paraId="58C4EB02">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4DC1FED5">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0072188E">
      <w:pPr>
        <w:spacing w:line="360" w:lineRule="auto"/>
        <w:ind w:firstLine="1446"/>
        <w:rPr>
          <w:rFonts w:hint="eastAsia" w:ascii="宋体" w:hAnsi="宋体" w:eastAsia="宋体" w:cs="宋体"/>
          <w:sz w:val="36"/>
          <w:szCs w:val="36"/>
          <w:highlight w:val="none"/>
          <w:lang w:eastAsia="zh-CN"/>
        </w:rPr>
      </w:pPr>
      <w:r>
        <w:rPr>
          <w:rFonts w:hint="eastAsia" w:ascii="宋体" w:hAnsi="宋体" w:eastAsia="宋体" w:cs="宋体"/>
          <w:b/>
          <w:sz w:val="36"/>
          <w:szCs w:val="36"/>
          <w:highlight w:val="none"/>
        </w:rPr>
        <w:t>项目编号：JSZC-320830-STGC-C2025-0015</w:t>
      </w:r>
    </w:p>
    <w:p w14:paraId="28C12552">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60536A85">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4BFD7742">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248EB806">
      <w:pPr>
        <w:spacing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512C1978">
      <w:pPr>
        <w:rPr>
          <w:rFonts w:hint="eastAsia" w:ascii="宋体" w:hAnsi="宋体" w:eastAsia="宋体" w:cs="宋体"/>
          <w:highlight w:val="none"/>
        </w:rPr>
      </w:pPr>
      <w:r>
        <w:rPr>
          <w:rFonts w:hint="eastAsia" w:ascii="宋体" w:hAnsi="宋体" w:eastAsia="宋体" w:cs="宋体"/>
          <w:highlight w:val="none"/>
        </w:rPr>
        <w:t xml:space="preserve"> </w:t>
      </w:r>
    </w:p>
    <w:p w14:paraId="038A3C99">
      <w:pPr>
        <w:spacing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 xml:space="preserve"> </w:t>
      </w:r>
    </w:p>
    <w:p w14:paraId="11F774B2">
      <w:pPr>
        <w:spacing w:line="760" w:lineRule="exact"/>
        <w:ind w:firstLine="1084"/>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项目名称</w:t>
      </w:r>
      <w:bookmarkStart w:id="0" w:name="OLE_LINK16"/>
      <w:r>
        <w:rPr>
          <w:rFonts w:hint="eastAsia" w:ascii="宋体" w:hAnsi="宋体" w:eastAsia="宋体" w:cs="宋体"/>
          <w:b/>
          <w:bCs/>
          <w:sz w:val="32"/>
          <w:szCs w:val="32"/>
          <w:highlight w:val="none"/>
        </w:rPr>
        <w:t>：</w:t>
      </w:r>
      <w:bookmarkEnd w:id="0"/>
      <w:bookmarkStart w:id="1" w:name="OLE_LINK18"/>
      <w:bookmarkEnd w:id="1"/>
      <w:r>
        <w:rPr>
          <w:rFonts w:hint="eastAsia" w:ascii="宋体" w:hAnsi="宋体" w:eastAsia="宋体" w:cs="宋体"/>
          <w:b/>
          <w:bCs/>
          <w:sz w:val="32"/>
          <w:szCs w:val="32"/>
          <w:highlight w:val="none"/>
          <w:lang w:eastAsia="zh-CN"/>
        </w:rPr>
        <w:t>江苏省盱眙中等专业学校校园绿化保洁项目</w:t>
      </w:r>
    </w:p>
    <w:p w14:paraId="155658FF">
      <w:pPr>
        <w:spacing w:line="760" w:lineRule="exact"/>
        <w:ind w:firstLine="1084"/>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 购 人：</w:t>
      </w:r>
      <w:r>
        <w:rPr>
          <w:rFonts w:hint="eastAsia" w:ascii="宋体" w:hAnsi="宋体" w:eastAsia="宋体" w:cs="宋体"/>
          <w:b/>
          <w:sz w:val="32"/>
          <w:szCs w:val="32"/>
          <w:highlight w:val="none"/>
          <w:lang w:eastAsia="zh-CN"/>
        </w:rPr>
        <w:t>江苏省盱眙中等专业学校</w:t>
      </w:r>
    </w:p>
    <w:p w14:paraId="1B36A4D1">
      <w:pPr>
        <w:spacing w:line="760" w:lineRule="exact"/>
        <w:ind w:firstLine="1084"/>
        <w:rPr>
          <w:rFonts w:hint="eastAsia" w:ascii="宋体" w:hAnsi="宋体" w:eastAsia="宋体" w:cs="宋体"/>
          <w:b/>
          <w:bCs/>
          <w:sz w:val="32"/>
          <w:szCs w:val="32"/>
          <w:highlight w:val="none"/>
          <w:lang w:eastAsia="zh-CN"/>
        </w:rPr>
      </w:pPr>
      <w:r>
        <w:rPr>
          <w:rFonts w:hint="eastAsia" w:ascii="宋体" w:hAnsi="宋体" w:eastAsia="宋体" w:cs="宋体"/>
          <w:b/>
          <w:sz w:val="32"/>
          <w:szCs w:val="32"/>
          <w:highlight w:val="none"/>
        </w:rPr>
        <w:t>采购代理机构：</w:t>
      </w:r>
      <w:r>
        <w:rPr>
          <w:rFonts w:hint="eastAsia" w:ascii="宋体" w:hAnsi="宋体" w:eastAsia="宋体" w:cs="宋体"/>
          <w:b/>
          <w:bCs/>
          <w:sz w:val="32"/>
          <w:szCs w:val="32"/>
          <w:highlight w:val="none"/>
          <w:lang w:eastAsia="zh-CN"/>
        </w:rPr>
        <w:t>江苏顺天工程项目管理咨询有限公司</w:t>
      </w:r>
    </w:p>
    <w:p w14:paraId="36190506">
      <w:pPr>
        <w:spacing w:line="48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202</w:t>
      </w:r>
      <w:r>
        <w:rPr>
          <w:rFonts w:hint="eastAsia" w:ascii="宋体" w:hAnsi="宋体" w:eastAsia="宋体" w:cs="宋体"/>
          <w:b/>
          <w:bCs/>
          <w:sz w:val="32"/>
          <w:szCs w:val="32"/>
          <w:highlight w:val="none"/>
          <w:lang w:val="en-US" w:eastAsia="zh-CN"/>
        </w:rPr>
        <w:t>5</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1</w:t>
      </w: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月</w:t>
      </w:r>
    </w:p>
    <w:p w14:paraId="04E8DBF0">
      <w:pPr>
        <w:widowControl/>
        <w:spacing w:line="480" w:lineRule="auto"/>
        <w:jc w:val="left"/>
        <w:rPr>
          <w:rFonts w:hint="eastAsia" w:ascii="宋体" w:hAnsi="宋体" w:eastAsia="宋体" w:cs="宋体"/>
          <w:b/>
          <w:bCs/>
          <w:sz w:val="30"/>
          <w:szCs w:val="30"/>
          <w:highlight w:val="none"/>
        </w:rPr>
        <w:sectPr>
          <w:pgSz w:w="11906" w:h="16838" w:orient="landscape"/>
          <w:pgMar w:top="1440" w:right="1474" w:bottom="1440" w:left="1474" w:header="851" w:footer="992" w:gutter="0"/>
          <w:cols w:space="720" w:num="1"/>
        </w:sectPr>
      </w:pPr>
    </w:p>
    <w:p w14:paraId="7F17C3A7">
      <w:pPr>
        <w:spacing w:line="360" w:lineRule="auto"/>
        <w:jc w:val="center"/>
        <w:rPr>
          <w:rFonts w:hint="eastAsia" w:ascii="宋体" w:hAnsi="宋体" w:eastAsia="宋体" w:cs="宋体"/>
          <w:sz w:val="32"/>
          <w:szCs w:val="32"/>
          <w:highlight w:val="none"/>
        </w:rPr>
      </w:pPr>
      <w:r>
        <w:rPr>
          <w:rFonts w:hint="eastAsia" w:ascii="宋体" w:hAnsi="宋体" w:eastAsia="宋体" w:cs="宋体"/>
          <w:b/>
          <w:sz w:val="30"/>
          <w:szCs w:val="30"/>
          <w:highlight w:val="none"/>
        </w:rPr>
        <w:t>前附表</w:t>
      </w:r>
    </w:p>
    <w:tbl>
      <w:tblPr>
        <w:tblStyle w:val="13"/>
        <w:tblW w:w="93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1"/>
        <w:gridCol w:w="2038"/>
        <w:gridCol w:w="6522"/>
      </w:tblGrid>
      <w:tr w14:paraId="41B9C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43A42033">
            <w:pPr>
              <w:spacing w:line="3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项号</w:t>
            </w:r>
          </w:p>
        </w:tc>
        <w:tc>
          <w:tcPr>
            <w:tcW w:w="2038" w:type="dxa"/>
            <w:tcBorders>
              <w:top w:val="single" w:color="auto" w:sz="6" w:space="0"/>
              <w:left w:val="nil"/>
              <w:bottom w:val="single" w:color="auto" w:sz="6" w:space="0"/>
              <w:right w:val="single" w:color="auto" w:sz="6" w:space="0"/>
            </w:tcBorders>
            <w:noWrap w:val="0"/>
            <w:vAlign w:val="center"/>
          </w:tcPr>
          <w:p w14:paraId="47E68984">
            <w:pPr>
              <w:spacing w:line="3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6522" w:type="dxa"/>
            <w:tcBorders>
              <w:top w:val="single" w:color="auto" w:sz="6" w:space="0"/>
              <w:left w:val="nil"/>
              <w:bottom w:val="single" w:color="auto" w:sz="6" w:space="0"/>
              <w:right w:val="single" w:color="auto" w:sz="6" w:space="0"/>
            </w:tcBorders>
            <w:noWrap w:val="0"/>
            <w:vAlign w:val="center"/>
          </w:tcPr>
          <w:p w14:paraId="1C2F3E11">
            <w:pPr>
              <w:spacing w:line="3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14:paraId="53C49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722D174">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38" w:type="dxa"/>
            <w:tcBorders>
              <w:top w:val="single" w:color="auto" w:sz="6" w:space="0"/>
              <w:left w:val="nil"/>
              <w:bottom w:val="single" w:color="auto" w:sz="6" w:space="0"/>
              <w:right w:val="single" w:color="auto" w:sz="6" w:space="0"/>
            </w:tcBorders>
            <w:noWrap w:val="0"/>
            <w:vAlign w:val="center"/>
          </w:tcPr>
          <w:p w14:paraId="748FB28C">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522" w:type="dxa"/>
            <w:tcBorders>
              <w:top w:val="single" w:color="auto" w:sz="6" w:space="0"/>
              <w:left w:val="nil"/>
              <w:bottom w:val="single" w:color="auto" w:sz="6" w:space="0"/>
              <w:right w:val="single" w:color="auto" w:sz="6" w:space="0"/>
            </w:tcBorders>
            <w:noWrap w:val="0"/>
            <w:vAlign w:val="center"/>
          </w:tcPr>
          <w:p w14:paraId="23DD769D">
            <w:pPr>
              <w:spacing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江苏省盱眙中等专业学校</w:t>
            </w:r>
          </w:p>
        </w:tc>
      </w:tr>
      <w:tr w14:paraId="4DC09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595B0446">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38" w:type="dxa"/>
            <w:tcBorders>
              <w:top w:val="single" w:color="auto" w:sz="6" w:space="0"/>
              <w:left w:val="nil"/>
              <w:bottom w:val="single" w:color="auto" w:sz="6" w:space="0"/>
              <w:right w:val="single" w:color="auto" w:sz="6" w:space="0"/>
            </w:tcBorders>
            <w:noWrap w:val="0"/>
            <w:vAlign w:val="center"/>
          </w:tcPr>
          <w:p w14:paraId="08884192">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522" w:type="dxa"/>
            <w:tcBorders>
              <w:top w:val="single" w:color="auto" w:sz="6" w:space="0"/>
              <w:left w:val="nil"/>
              <w:bottom w:val="single" w:color="auto" w:sz="6" w:space="0"/>
              <w:right w:val="single" w:color="auto" w:sz="6" w:space="0"/>
            </w:tcBorders>
            <w:noWrap w:val="0"/>
            <w:vAlign w:val="center"/>
          </w:tcPr>
          <w:p w14:paraId="10450C5B">
            <w:pPr>
              <w:spacing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江苏顺天工程项目管理咨询有限公司</w:t>
            </w:r>
          </w:p>
        </w:tc>
      </w:tr>
      <w:tr w14:paraId="5D471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5A51F919">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038" w:type="dxa"/>
            <w:tcBorders>
              <w:top w:val="single" w:color="auto" w:sz="6" w:space="0"/>
              <w:left w:val="nil"/>
              <w:bottom w:val="single" w:color="auto" w:sz="6" w:space="0"/>
              <w:right w:val="single" w:color="auto" w:sz="6" w:space="0"/>
            </w:tcBorders>
            <w:noWrap w:val="0"/>
            <w:vAlign w:val="center"/>
          </w:tcPr>
          <w:p w14:paraId="38692541">
            <w:pPr>
              <w:spacing w:line="312" w:lineRule="auto"/>
              <w:jc w:val="center"/>
              <w:rPr>
                <w:rFonts w:hint="eastAsia" w:ascii="宋体" w:hAnsi="宋体" w:eastAsia="宋体" w:cs="宋体"/>
                <w:sz w:val="24"/>
                <w:szCs w:val="24"/>
                <w:highlight w:val="none"/>
              </w:rPr>
            </w:pPr>
            <w:bookmarkStart w:id="2" w:name="OLE_LINK8"/>
            <w:r>
              <w:rPr>
                <w:rFonts w:hint="eastAsia" w:ascii="宋体" w:hAnsi="宋体" w:eastAsia="宋体" w:cs="宋体"/>
                <w:sz w:val="24"/>
                <w:szCs w:val="24"/>
                <w:highlight w:val="none"/>
              </w:rPr>
              <w:t>项目编号</w:t>
            </w:r>
            <w:bookmarkEnd w:id="2"/>
          </w:p>
        </w:tc>
        <w:tc>
          <w:tcPr>
            <w:tcW w:w="6522" w:type="dxa"/>
            <w:tcBorders>
              <w:top w:val="single" w:color="auto" w:sz="6" w:space="0"/>
              <w:left w:val="nil"/>
              <w:bottom w:val="single" w:color="auto" w:sz="6" w:space="0"/>
              <w:right w:val="single" w:color="auto" w:sz="6" w:space="0"/>
            </w:tcBorders>
            <w:noWrap w:val="0"/>
            <w:vAlign w:val="center"/>
          </w:tcPr>
          <w:p w14:paraId="07EAE4D6">
            <w:pPr>
              <w:spacing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JSZC-320830-STGC-C2025-0015</w:t>
            </w:r>
          </w:p>
        </w:tc>
      </w:tr>
      <w:tr w14:paraId="362A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4F17F970">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038" w:type="dxa"/>
            <w:tcBorders>
              <w:top w:val="single" w:color="auto" w:sz="6" w:space="0"/>
              <w:left w:val="nil"/>
              <w:bottom w:val="single" w:color="auto" w:sz="6" w:space="0"/>
              <w:right w:val="single" w:color="auto" w:sz="6" w:space="0"/>
            </w:tcBorders>
            <w:noWrap w:val="0"/>
            <w:vAlign w:val="center"/>
          </w:tcPr>
          <w:p w14:paraId="69F726E7">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招标内容</w:t>
            </w:r>
          </w:p>
        </w:tc>
        <w:tc>
          <w:tcPr>
            <w:tcW w:w="6522" w:type="dxa"/>
            <w:tcBorders>
              <w:top w:val="single" w:color="auto" w:sz="6" w:space="0"/>
              <w:left w:val="nil"/>
              <w:bottom w:val="single" w:color="auto" w:sz="6" w:space="0"/>
              <w:right w:val="single" w:color="auto" w:sz="6" w:space="0"/>
            </w:tcBorders>
            <w:noWrap w:val="0"/>
            <w:vAlign w:val="center"/>
          </w:tcPr>
          <w:p w14:paraId="198FF3A5">
            <w:pPr>
              <w:widowControl/>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江苏省盱眙中等专业学校校园绿化保洁项目</w:t>
            </w:r>
            <w:r>
              <w:rPr>
                <w:rFonts w:hint="eastAsia" w:ascii="宋体" w:hAnsi="宋体" w:eastAsia="宋体" w:cs="宋体"/>
                <w:sz w:val="24"/>
                <w:szCs w:val="24"/>
                <w:highlight w:val="none"/>
              </w:rPr>
              <w:t>，具体详见磋商文件第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章项目采购需求</w:t>
            </w:r>
          </w:p>
        </w:tc>
      </w:tr>
      <w:tr w14:paraId="236F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009D117F">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038" w:type="dxa"/>
            <w:tcBorders>
              <w:top w:val="single" w:color="auto" w:sz="6" w:space="0"/>
              <w:left w:val="nil"/>
              <w:bottom w:val="single" w:color="auto" w:sz="6" w:space="0"/>
              <w:right w:val="single" w:color="auto" w:sz="6" w:space="0"/>
            </w:tcBorders>
            <w:noWrap w:val="0"/>
            <w:vAlign w:val="center"/>
          </w:tcPr>
          <w:p w14:paraId="7DCFA8DE">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采购预算价</w:t>
            </w:r>
          </w:p>
        </w:tc>
        <w:tc>
          <w:tcPr>
            <w:tcW w:w="6522" w:type="dxa"/>
            <w:tcBorders>
              <w:top w:val="single" w:color="auto" w:sz="6" w:space="0"/>
              <w:left w:val="nil"/>
              <w:bottom w:val="single" w:color="auto" w:sz="6" w:space="0"/>
              <w:right w:val="single" w:color="auto" w:sz="6" w:space="0"/>
            </w:tcBorders>
            <w:noWrap w:val="0"/>
            <w:vAlign w:val="center"/>
          </w:tcPr>
          <w:p w14:paraId="1919C832">
            <w:pPr>
              <w:spacing w:line="312" w:lineRule="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lang w:val="en-US" w:eastAsia="zh-CN"/>
              </w:rPr>
              <w:t>220万</w:t>
            </w:r>
            <w:r>
              <w:rPr>
                <w:rFonts w:hint="eastAsia" w:ascii="宋体" w:hAnsi="宋体" w:eastAsia="宋体" w:cs="宋体"/>
                <w:sz w:val="24"/>
                <w:szCs w:val="24"/>
                <w:highlight w:val="none"/>
                <w:lang w:eastAsia="zh-CN"/>
              </w:rPr>
              <w:t>元</w:t>
            </w:r>
          </w:p>
        </w:tc>
      </w:tr>
      <w:tr w14:paraId="6478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A9480B0">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038" w:type="dxa"/>
            <w:tcBorders>
              <w:top w:val="single" w:color="auto" w:sz="6" w:space="0"/>
              <w:left w:val="nil"/>
              <w:bottom w:val="single" w:color="auto" w:sz="6" w:space="0"/>
              <w:right w:val="single" w:color="auto" w:sz="6" w:space="0"/>
            </w:tcBorders>
            <w:noWrap w:val="0"/>
            <w:vAlign w:val="center"/>
          </w:tcPr>
          <w:p w14:paraId="5CE83B04">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522" w:type="dxa"/>
            <w:tcBorders>
              <w:top w:val="single" w:color="auto" w:sz="6" w:space="0"/>
              <w:left w:val="nil"/>
              <w:bottom w:val="single" w:color="auto" w:sz="6" w:space="0"/>
              <w:right w:val="single" w:color="auto" w:sz="6" w:space="0"/>
            </w:tcBorders>
            <w:noWrap w:val="0"/>
            <w:vAlign w:val="center"/>
          </w:tcPr>
          <w:p w14:paraId="738E13E8">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九十日历天</w:t>
            </w:r>
          </w:p>
        </w:tc>
      </w:tr>
      <w:tr w14:paraId="44F07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4B6220E">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038" w:type="dxa"/>
            <w:tcBorders>
              <w:top w:val="single" w:color="auto" w:sz="6" w:space="0"/>
              <w:left w:val="nil"/>
              <w:bottom w:val="single" w:color="auto" w:sz="6" w:space="0"/>
              <w:right w:val="single" w:color="auto" w:sz="6" w:space="0"/>
            </w:tcBorders>
            <w:noWrap w:val="0"/>
            <w:vAlign w:val="center"/>
          </w:tcPr>
          <w:p w14:paraId="2A178FAD">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522" w:type="dxa"/>
            <w:tcBorders>
              <w:top w:val="single" w:color="auto" w:sz="6" w:space="0"/>
              <w:left w:val="nil"/>
              <w:bottom w:val="single" w:color="auto" w:sz="6" w:space="0"/>
              <w:right w:val="single" w:color="auto" w:sz="6" w:space="0"/>
            </w:tcBorders>
            <w:noWrap w:val="0"/>
            <w:vAlign w:val="center"/>
          </w:tcPr>
          <w:p w14:paraId="5788AC6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乙方交纳人民币_____元作为本合同的履约保证金。（不得超过合同金额的1%）</w:t>
            </w:r>
          </w:p>
        </w:tc>
      </w:tr>
      <w:tr w14:paraId="79D52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5A2322B9">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038" w:type="dxa"/>
            <w:tcBorders>
              <w:top w:val="single" w:color="auto" w:sz="6" w:space="0"/>
              <w:left w:val="nil"/>
              <w:bottom w:val="single" w:color="auto" w:sz="6" w:space="0"/>
              <w:right w:val="single" w:color="auto" w:sz="6" w:space="0"/>
            </w:tcBorders>
            <w:noWrap w:val="0"/>
            <w:vAlign w:val="center"/>
          </w:tcPr>
          <w:p w14:paraId="4E3F75BC">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磋商文件获取</w:t>
            </w:r>
          </w:p>
        </w:tc>
        <w:tc>
          <w:tcPr>
            <w:tcW w:w="6522" w:type="dxa"/>
            <w:tcBorders>
              <w:top w:val="single" w:color="auto" w:sz="6" w:space="0"/>
              <w:left w:val="nil"/>
              <w:bottom w:val="single" w:color="auto" w:sz="6" w:space="0"/>
              <w:right w:val="single" w:color="auto" w:sz="6" w:space="0"/>
            </w:tcBorders>
            <w:noWrap w:val="0"/>
            <w:vAlign w:val="center"/>
          </w:tcPr>
          <w:p w14:paraId="1ADC916B">
            <w:pPr>
              <w:spacing w:line="273"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登陆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tc>
      </w:tr>
      <w:tr w14:paraId="036E7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6A766F2E">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038" w:type="dxa"/>
            <w:tcBorders>
              <w:top w:val="single" w:color="auto" w:sz="6" w:space="0"/>
              <w:left w:val="nil"/>
              <w:bottom w:val="single" w:color="auto" w:sz="6" w:space="0"/>
              <w:right w:val="single" w:color="auto" w:sz="6" w:space="0"/>
            </w:tcBorders>
            <w:noWrap w:val="0"/>
            <w:vAlign w:val="center"/>
          </w:tcPr>
          <w:p w14:paraId="029C4D26">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响应文件份数</w:t>
            </w:r>
          </w:p>
        </w:tc>
        <w:tc>
          <w:tcPr>
            <w:tcW w:w="6522" w:type="dxa"/>
            <w:tcBorders>
              <w:top w:val="single" w:color="auto" w:sz="6" w:space="0"/>
              <w:left w:val="nil"/>
              <w:bottom w:val="single" w:color="auto" w:sz="6" w:space="0"/>
              <w:right w:val="single" w:color="auto" w:sz="6" w:space="0"/>
            </w:tcBorders>
            <w:noWrap w:val="0"/>
            <w:vAlign w:val="center"/>
          </w:tcPr>
          <w:p w14:paraId="4F49362A">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在规定的投标截止时间前在江苏省政府采购网或者淮安市政府采购网全程电子化交易平台中上传加密电子投标文件一份。（成交供应商须在成交公告结束后提交三份纸质投标文件，纸质文件必须由未加密的电子投标文件直接打印，成交供应商在成功打印后再行装订，不得缺页、漏页。）</w:t>
            </w:r>
          </w:p>
        </w:tc>
      </w:tr>
      <w:tr w14:paraId="23B59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1DCF3AC6">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038" w:type="dxa"/>
            <w:tcBorders>
              <w:top w:val="single" w:color="auto" w:sz="6" w:space="0"/>
              <w:left w:val="nil"/>
              <w:bottom w:val="single" w:color="auto" w:sz="6" w:space="0"/>
              <w:right w:val="single" w:color="auto" w:sz="6" w:space="0"/>
            </w:tcBorders>
            <w:noWrap w:val="0"/>
            <w:vAlign w:val="center"/>
          </w:tcPr>
          <w:p w14:paraId="2864A3C5">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p>
        </w:tc>
        <w:tc>
          <w:tcPr>
            <w:tcW w:w="6522" w:type="dxa"/>
            <w:tcBorders>
              <w:top w:val="single" w:color="auto" w:sz="6" w:space="0"/>
              <w:left w:val="nil"/>
              <w:bottom w:val="single" w:color="auto" w:sz="6" w:space="0"/>
              <w:right w:val="single" w:color="auto" w:sz="6" w:space="0"/>
            </w:tcBorders>
            <w:noWrap w:val="0"/>
            <w:vAlign w:val="center"/>
          </w:tcPr>
          <w:p w14:paraId="76FA52FD">
            <w:pPr>
              <w:spacing w:line="312" w:lineRule="auto"/>
              <w:rPr>
                <w:rFonts w:hint="eastAsia" w:ascii="宋体" w:hAnsi="宋体" w:eastAsia="宋体" w:cs="宋体"/>
                <w:b/>
                <w:sz w:val="24"/>
                <w:szCs w:val="24"/>
                <w:highlight w:val="none"/>
              </w:rPr>
            </w:pPr>
            <w:bookmarkStart w:id="3" w:name="OLE_LINK2"/>
            <w:r>
              <w:rPr>
                <w:rFonts w:hint="eastAsia" w:ascii="宋体" w:hAnsi="宋体" w:eastAsia="宋体" w:cs="宋体"/>
                <w:b/>
                <w:sz w:val="24"/>
                <w:szCs w:val="24"/>
                <w:highlight w:val="none"/>
                <w:shd w:val="clear" w:color="auto" w:fill="FFFFFF"/>
              </w:rPr>
              <w:t>202</w:t>
            </w:r>
            <w:r>
              <w:rPr>
                <w:rFonts w:hint="eastAsia" w:ascii="宋体" w:hAnsi="宋体" w:eastAsia="宋体" w:cs="宋体"/>
                <w:b/>
                <w:sz w:val="24"/>
                <w:szCs w:val="24"/>
                <w:highlight w:val="none"/>
                <w:shd w:val="clear" w:color="auto" w:fill="FFFFFF"/>
                <w:lang w:val="en-US" w:eastAsia="zh-CN"/>
              </w:rPr>
              <w:t>5</w:t>
            </w:r>
            <w:r>
              <w:rPr>
                <w:rFonts w:hint="eastAsia" w:ascii="宋体" w:hAnsi="宋体" w:eastAsia="宋体" w:cs="宋体"/>
                <w:b/>
                <w:sz w:val="24"/>
                <w:szCs w:val="24"/>
                <w:highlight w:val="none"/>
                <w:shd w:val="clear" w:color="auto" w:fill="FFFFFF"/>
              </w:rPr>
              <w:t>年</w:t>
            </w:r>
            <w:r>
              <w:rPr>
                <w:rFonts w:hint="eastAsia" w:ascii="宋体" w:hAnsi="宋体" w:eastAsia="宋体" w:cs="宋体"/>
                <w:b/>
                <w:sz w:val="24"/>
                <w:szCs w:val="24"/>
                <w:highlight w:val="none"/>
                <w:shd w:val="clear" w:color="auto" w:fill="FFFFFF"/>
                <w:lang w:val="en-US" w:eastAsia="zh-CN"/>
              </w:rPr>
              <w:t xml:space="preserve"> </w:t>
            </w:r>
            <w:r>
              <w:rPr>
                <w:rFonts w:hint="eastAsia" w:ascii="宋体" w:hAnsi="宋体" w:cs="宋体"/>
                <w:b/>
                <w:sz w:val="24"/>
                <w:szCs w:val="24"/>
                <w:highlight w:val="none"/>
                <w:shd w:val="clear" w:color="auto" w:fill="FFFFFF"/>
                <w:lang w:val="en-US" w:eastAsia="zh-CN"/>
              </w:rPr>
              <w:t>12</w:t>
            </w:r>
            <w:r>
              <w:rPr>
                <w:rFonts w:hint="eastAsia" w:ascii="宋体" w:hAnsi="宋体" w:eastAsia="宋体" w:cs="宋体"/>
                <w:b/>
                <w:sz w:val="24"/>
                <w:szCs w:val="24"/>
                <w:highlight w:val="none"/>
                <w:shd w:val="clear" w:color="auto" w:fill="FFFFFF"/>
              </w:rPr>
              <w:t>月</w:t>
            </w:r>
            <w:r>
              <w:rPr>
                <w:rFonts w:hint="eastAsia" w:ascii="宋体" w:hAnsi="宋体" w:eastAsia="宋体" w:cs="宋体"/>
                <w:b/>
                <w:sz w:val="24"/>
                <w:szCs w:val="24"/>
                <w:highlight w:val="none"/>
                <w:shd w:val="clear" w:color="auto" w:fill="FFFFFF"/>
                <w:lang w:val="en-US" w:eastAsia="zh-CN"/>
              </w:rPr>
              <w:t xml:space="preserve"> </w:t>
            </w:r>
            <w:r>
              <w:rPr>
                <w:rFonts w:hint="eastAsia" w:ascii="宋体" w:hAnsi="宋体" w:cs="宋体"/>
                <w:b/>
                <w:sz w:val="24"/>
                <w:szCs w:val="24"/>
                <w:highlight w:val="none"/>
                <w:shd w:val="clear" w:color="auto" w:fill="FFFFFF"/>
                <w:lang w:val="en-US" w:eastAsia="zh-CN"/>
              </w:rPr>
              <w:t>29</w:t>
            </w:r>
            <w:r>
              <w:rPr>
                <w:rFonts w:hint="eastAsia" w:ascii="宋体" w:hAnsi="宋体" w:eastAsia="宋体" w:cs="宋体"/>
                <w:b/>
                <w:sz w:val="24"/>
                <w:szCs w:val="24"/>
                <w:highlight w:val="none"/>
                <w:shd w:val="clear" w:color="auto" w:fill="FFFFFF"/>
                <w:lang w:val="en-US" w:eastAsia="zh-CN"/>
              </w:rPr>
              <w:t xml:space="preserve"> </w:t>
            </w:r>
            <w:r>
              <w:rPr>
                <w:rFonts w:hint="eastAsia" w:ascii="宋体" w:hAnsi="宋体" w:eastAsia="宋体" w:cs="宋体"/>
                <w:b/>
                <w:sz w:val="24"/>
                <w:szCs w:val="24"/>
                <w:highlight w:val="none"/>
                <w:shd w:val="clear" w:color="auto" w:fill="FFFFFF"/>
              </w:rPr>
              <w:t>日</w:t>
            </w:r>
            <w:r>
              <w:rPr>
                <w:rFonts w:hint="eastAsia" w:ascii="宋体" w:hAnsi="宋体" w:eastAsia="宋体" w:cs="宋体"/>
                <w:b/>
                <w:sz w:val="24"/>
                <w:szCs w:val="24"/>
                <w:highlight w:val="none"/>
                <w:shd w:val="clear" w:color="auto" w:fill="FFFFFF"/>
                <w:lang w:val="en-US" w:eastAsia="zh-CN"/>
              </w:rPr>
              <w:t>9</w:t>
            </w:r>
            <w:r>
              <w:rPr>
                <w:rFonts w:hint="eastAsia" w:ascii="宋体" w:hAnsi="宋体" w:eastAsia="宋体" w:cs="宋体"/>
                <w:b/>
                <w:sz w:val="24"/>
                <w:szCs w:val="24"/>
                <w:highlight w:val="none"/>
                <w:shd w:val="clear" w:color="auto" w:fill="FFFFFF"/>
              </w:rPr>
              <w:t>点00分</w:t>
            </w:r>
            <w:bookmarkEnd w:id="3"/>
            <w:r>
              <w:rPr>
                <w:rFonts w:hint="eastAsia" w:ascii="宋体" w:hAnsi="宋体" w:eastAsia="宋体" w:cs="宋体"/>
                <w:b/>
                <w:sz w:val="24"/>
                <w:szCs w:val="24"/>
                <w:highlight w:val="none"/>
              </w:rPr>
              <w:t>（北京时间）</w:t>
            </w:r>
          </w:p>
          <w:p w14:paraId="112986BC">
            <w:pPr>
              <w:spacing w:line="312"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淮安市公共资源交易中心盱眙分中心（江苏省政府采购一体化不见面开标（采购）大厅）</w:t>
            </w:r>
          </w:p>
        </w:tc>
      </w:tr>
      <w:tr w14:paraId="6D959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466565E8">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038" w:type="dxa"/>
            <w:tcBorders>
              <w:top w:val="single" w:color="auto" w:sz="6" w:space="0"/>
              <w:left w:val="nil"/>
              <w:bottom w:val="single" w:color="auto" w:sz="6" w:space="0"/>
              <w:right w:val="single" w:color="auto" w:sz="6" w:space="0"/>
            </w:tcBorders>
            <w:noWrap w:val="0"/>
            <w:vAlign w:val="center"/>
          </w:tcPr>
          <w:p w14:paraId="4ABDA063">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6522" w:type="dxa"/>
            <w:tcBorders>
              <w:top w:val="single" w:color="auto" w:sz="6" w:space="0"/>
              <w:left w:val="nil"/>
              <w:bottom w:val="single" w:color="auto" w:sz="6" w:space="0"/>
              <w:right w:val="single" w:color="auto" w:sz="6" w:space="0"/>
            </w:tcBorders>
            <w:noWrap w:val="0"/>
            <w:vAlign w:val="center"/>
          </w:tcPr>
          <w:p w14:paraId="54EE8C2A">
            <w:pPr>
              <w:spacing w:line="312"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按照供应商须知4.2执行</w:t>
            </w:r>
          </w:p>
        </w:tc>
      </w:tr>
      <w:tr w14:paraId="62E5F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651CE620">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2038" w:type="dxa"/>
            <w:tcBorders>
              <w:top w:val="single" w:color="auto" w:sz="6" w:space="0"/>
              <w:left w:val="nil"/>
              <w:bottom w:val="single" w:color="auto" w:sz="6" w:space="0"/>
              <w:right w:val="single" w:color="auto" w:sz="6" w:space="0"/>
            </w:tcBorders>
            <w:noWrap w:val="0"/>
            <w:vAlign w:val="center"/>
          </w:tcPr>
          <w:p w14:paraId="766B39E9">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中标通知书领取</w:t>
            </w:r>
          </w:p>
        </w:tc>
        <w:tc>
          <w:tcPr>
            <w:tcW w:w="6522" w:type="dxa"/>
            <w:tcBorders>
              <w:top w:val="single" w:color="auto" w:sz="6" w:space="0"/>
              <w:left w:val="nil"/>
              <w:bottom w:val="single" w:color="auto" w:sz="6" w:space="0"/>
              <w:right w:val="single" w:color="auto" w:sz="6" w:space="0"/>
            </w:tcBorders>
            <w:noWrap w:val="0"/>
            <w:vAlign w:val="center"/>
          </w:tcPr>
          <w:p w14:paraId="7D32EB4F">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代理机构处领取</w:t>
            </w:r>
          </w:p>
        </w:tc>
      </w:tr>
      <w:tr w14:paraId="20DEA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66B845B2">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038" w:type="dxa"/>
            <w:tcBorders>
              <w:top w:val="single" w:color="auto" w:sz="6" w:space="0"/>
              <w:left w:val="nil"/>
              <w:bottom w:val="single" w:color="auto" w:sz="6" w:space="0"/>
              <w:right w:val="single" w:color="auto" w:sz="6" w:space="0"/>
            </w:tcBorders>
            <w:noWrap w:val="0"/>
            <w:vAlign w:val="center"/>
          </w:tcPr>
          <w:p w14:paraId="2B2065F2">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资质要求</w:t>
            </w:r>
          </w:p>
        </w:tc>
        <w:tc>
          <w:tcPr>
            <w:tcW w:w="6522" w:type="dxa"/>
            <w:tcBorders>
              <w:top w:val="single" w:color="auto" w:sz="6" w:space="0"/>
              <w:left w:val="nil"/>
              <w:bottom w:val="single" w:color="auto" w:sz="6" w:space="0"/>
              <w:right w:val="single" w:color="auto" w:sz="6" w:space="0"/>
            </w:tcBorders>
            <w:noWrap w:val="0"/>
            <w:vAlign w:val="center"/>
          </w:tcPr>
          <w:p w14:paraId="61950DAD">
            <w:pPr>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详见采购公告要求</w:t>
            </w:r>
          </w:p>
        </w:tc>
      </w:tr>
      <w:tr w14:paraId="4BE5D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3C9F6F1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2038" w:type="dxa"/>
            <w:tcBorders>
              <w:top w:val="single" w:color="auto" w:sz="6" w:space="0"/>
              <w:left w:val="nil"/>
              <w:bottom w:val="single" w:color="auto" w:sz="6" w:space="0"/>
              <w:right w:val="single" w:color="auto" w:sz="6" w:space="0"/>
            </w:tcBorders>
            <w:noWrap w:val="0"/>
            <w:vAlign w:val="center"/>
          </w:tcPr>
          <w:p w14:paraId="0E11E7A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6522" w:type="dxa"/>
            <w:tcBorders>
              <w:top w:val="single" w:color="auto" w:sz="6" w:space="0"/>
              <w:left w:val="nil"/>
              <w:bottom w:val="single" w:color="auto" w:sz="6" w:space="0"/>
              <w:right w:val="single" w:color="auto" w:sz="6" w:space="0"/>
            </w:tcBorders>
            <w:noWrap w:val="0"/>
            <w:vAlign w:val="center"/>
          </w:tcPr>
          <w:p w14:paraId="2D2935F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bl>
    <w:p w14:paraId="3CA00E44">
      <w:pPr>
        <w:widowControl/>
        <w:jc w:val="left"/>
        <w:rPr>
          <w:rFonts w:hint="eastAsia" w:ascii="宋体" w:hAnsi="宋体" w:eastAsia="宋体" w:cs="宋体"/>
          <w:b/>
          <w:sz w:val="30"/>
          <w:szCs w:val="30"/>
          <w:highlight w:val="none"/>
        </w:rPr>
        <w:sectPr>
          <w:pgSz w:w="11906" w:h="16838" w:orient="landscape"/>
          <w:pgMar w:top="1440" w:right="1474" w:bottom="1440" w:left="1474" w:header="851" w:footer="992" w:gutter="0"/>
          <w:cols w:space="720" w:num="1"/>
        </w:sectPr>
      </w:pPr>
    </w:p>
    <w:p w14:paraId="2477A54B">
      <w:pPr>
        <w:widowControl/>
        <w:spacing w:after="100" w:afterAutospacing="1" w:line="36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30"/>
          <w:szCs w:val="30"/>
          <w:highlight w:val="none"/>
        </w:rPr>
        <w:t>第一章  磋商邀请</w:t>
      </w:r>
    </w:p>
    <w:tbl>
      <w:tblPr>
        <w:tblStyle w:val="13"/>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14:paraId="17C2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0" w:type="dxa"/>
            <w:tcBorders>
              <w:top w:val="single" w:color="auto" w:sz="4" w:space="0"/>
              <w:left w:val="single" w:color="auto" w:sz="4" w:space="0"/>
              <w:bottom w:val="single" w:color="auto" w:sz="4" w:space="0"/>
              <w:right w:val="single" w:color="auto" w:sz="4" w:space="0"/>
            </w:tcBorders>
            <w:noWrap w:val="0"/>
            <w:vAlign w:val="top"/>
          </w:tcPr>
          <w:p w14:paraId="6CBE9513">
            <w:pPr>
              <w:pStyle w:val="11"/>
              <w:widowControl/>
              <w:shd w:val="clear" w:color="auto" w:fill="FFFFFF"/>
              <w:spacing w:before="0" w:beforeAutospacing="0" w:after="210" w:afterAutospacing="0"/>
              <w:rPr>
                <w:rFonts w:hint="eastAsia" w:ascii="宋体" w:hAnsi="宋体" w:eastAsia="宋体" w:cs="宋体"/>
                <w:highlight w:val="none"/>
              </w:rPr>
            </w:pPr>
            <w:r>
              <w:rPr>
                <w:rFonts w:hint="eastAsia" w:ascii="宋体" w:hAnsi="宋体" w:eastAsia="宋体" w:cs="宋体"/>
                <w:highlight w:val="none"/>
              </w:rPr>
              <w:t>项目概况</w:t>
            </w:r>
          </w:p>
          <w:p w14:paraId="3B0A97B2">
            <w:pPr>
              <w:pStyle w:val="11"/>
              <w:widowControl/>
              <w:shd w:val="clear" w:color="auto" w:fill="FFFFFF"/>
              <w:spacing w:before="0" w:beforeAutospacing="0" w:after="210" w:afterAutospacing="0"/>
              <w:ind w:firstLine="240" w:firstLineChars="100"/>
              <w:rPr>
                <w:rFonts w:hint="eastAsia" w:ascii="宋体" w:hAnsi="宋体" w:eastAsia="宋体" w:cs="宋体"/>
                <w:highlight w:val="none"/>
              </w:rPr>
            </w:pPr>
            <w:r>
              <w:rPr>
                <w:rFonts w:hint="eastAsia" w:ascii="宋体" w:hAnsi="宋体" w:eastAsia="宋体" w:cs="宋体"/>
                <w:highlight w:val="none"/>
                <w:lang w:eastAsia="zh-CN"/>
              </w:rPr>
              <w:t>江苏省盱眙中等专业学校校园绿化保洁项目</w:t>
            </w:r>
            <w:r>
              <w:rPr>
                <w:rFonts w:hint="eastAsia" w:ascii="宋体" w:hAnsi="宋体" w:eastAsia="宋体" w:cs="宋体"/>
                <w:highlight w:val="none"/>
              </w:rPr>
              <w:t>采购项目的潜在供应商应在江苏省政府采购网或淮安市政府采购网获取采购文件，并于</w:t>
            </w:r>
            <w:r>
              <w:rPr>
                <w:rFonts w:hint="eastAsia" w:ascii="宋体" w:hAnsi="宋体" w:eastAsia="宋体" w:cs="宋体"/>
                <w:b/>
                <w:sz w:val="24"/>
                <w:szCs w:val="24"/>
                <w:highlight w:val="none"/>
                <w:shd w:val="clear" w:color="auto" w:fill="FFFFFF"/>
              </w:rPr>
              <w:t>202</w:t>
            </w:r>
            <w:r>
              <w:rPr>
                <w:rFonts w:hint="eastAsia" w:ascii="宋体" w:hAnsi="宋体" w:eastAsia="宋体" w:cs="宋体"/>
                <w:b/>
                <w:sz w:val="24"/>
                <w:szCs w:val="24"/>
                <w:highlight w:val="none"/>
                <w:shd w:val="clear" w:color="auto" w:fill="FFFFFF"/>
                <w:lang w:val="en-US" w:eastAsia="zh-CN"/>
              </w:rPr>
              <w:t>5</w:t>
            </w:r>
            <w:r>
              <w:rPr>
                <w:rFonts w:hint="eastAsia" w:ascii="宋体" w:hAnsi="宋体" w:eastAsia="宋体" w:cs="宋体"/>
                <w:b/>
                <w:sz w:val="24"/>
                <w:szCs w:val="24"/>
                <w:highlight w:val="none"/>
                <w:shd w:val="clear" w:color="auto" w:fill="FFFFFF"/>
              </w:rPr>
              <w:t>年</w:t>
            </w:r>
            <w:r>
              <w:rPr>
                <w:rFonts w:hint="eastAsia" w:ascii="宋体" w:hAnsi="宋体" w:cs="宋体"/>
                <w:b/>
                <w:sz w:val="24"/>
                <w:szCs w:val="24"/>
                <w:highlight w:val="none"/>
                <w:shd w:val="clear" w:color="auto" w:fill="FFFFFF"/>
                <w:lang w:val="en-US" w:eastAsia="zh-CN"/>
              </w:rPr>
              <w:t>12</w:t>
            </w:r>
            <w:r>
              <w:rPr>
                <w:rFonts w:hint="eastAsia" w:ascii="宋体" w:hAnsi="宋体" w:eastAsia="宋体" w:cs="宋体"/>
                <w:b/>
                <w:sz w:val="24"/>
                <w:szCs w:val="24"/>
                <w:highlight w:val="none"/>
                <w:shd w:val="clear" w:color="auto" w:fill="FFFFFF"/>
              </w:rPr>
              <w:t>月</w:t>
            </w:r>
            <w:r>
              <w:rPr>
                <w:rFonts w:hint="eastAsia" w:ascii="宋体" w:hAnsi="宋体" w:cs="宋体"/>
                <w:b/>
                <w:sz w:val="24"/>
                <w:szCs w:val="24"/>
                <w:highlight w:val="none"/>
                <w:shd w:val="clear" w:color="auto" w:fill="FFFFFF"/>
                <w:lang w:val="en-US" w:eastAsia="zh-CN"/>
              </w:rPr>
              <w:t>29</w:t>
            </w:r>
            <w:r>
              <w:rPr>
                <w:rFonts w:hint="eastAsia" w:ascii="宋体" w:hAnsi="宋体" w:eastAsia="宋体" w:cs="宋体"/>
                <w:b/>
                <w:sz w:val="24"/>
                <w:szCs w:val="24"/>
                <w:highlight w:val="none"/>
                <w:shd w:val="clear" w:color="auto" w:fill="FFFFFF"/>
                <w:lang w:val="en-US" w:eastAsia="zh-CN"/>
              </w:rPr>
              <w:t xml:space="preserve"> </w:t>
            </w:r>
            <w:r>
              <w:rPr>
                <w:rFonts w:hint="eastAsia" w:ascii="宋体" w:hAnsi="宋体" w:eastAsia="宋体" w:cs="宋体"/>
                <w:b/>
                <w:sz w:val="24"/>
                <w:szCs w:val="24"/>
                <w:highlight w:val="none"/>
                <w:shd w:val="clear" w:color="auto" w:fill="FFFFFF"/>
              </w:rPr>
              <w:t>日</w:t>
            </w:r>
            <w:r>
              <w:rPr>
                <w:rFonts w:hint="eastAsia" w:ascii="宋体" w:hAnsi="宋体" w:eastAsia="宋体" w:cs="宋体"/>
                <w:b/>
                <w:sz w:val="24"/>
                <w:szCs w:val="24"/>
                <w:highlight w:val="none"/>
                <w:shd w:val="clear" w:color="auto" w:fill="FFFFFF"/>
                <w:lang w:val="en-US" w:eastAsia="zh-CN"/>
              </w:rPr>
              <w:t>上</w:t>
            </w:r>
            <w:r>
              <w:rPr>
                <w:rFonts w:hint="eastAsia" w:ascii="宋体" w:hAnsi="宋体" w:eastAsia="宋体" w:cs="宋体"/>
                <w:b/>
                <w:sz w:val="24"/>
                <w:szCs w:val="24"/>
                <w:highlight w:val="none"/>
                <w:shd w:val="clear" w:color="auto" w:fill="FFFFFF"/>
                <w:lang w:val="en-US" w:eastAsia="zh-CN"/>
              </w:rPr>
              <w:t>午9</w:t>
            </w:r>
            <w:r>
              <w:rPr>
                <w:rFonts w:hint="eastAsia" w:ascii="宋体" w:hAnsi="宋体" w:eastAsia="宋体" w:cs="宋体"/>
                <w:b/>
                <w:sz w:val="24"/>
                <w:szCs w:val="24"/>
                <w:highlight w:val="none"/>
                <w:shd w:val="clear" w:color="auto" w:fill="FFFFFF"/>
              </w:rPr>
              <w:t>点00分</w:t>
            </w:r>
            <w:r>
              <w:rPr>
                <w:rFonts w:hint="eastAsia" w:ascii="宋体" w:hAnsi="宋体" w:eastAsia="宋体" w:cs="宋体"/>
                <w:highlight w:val="none"/>
              </w:rPr>
              <w:t>（北京时间）前提交响应文件。</w:t>
            </w:r>
          </w:p>
        </w:tc>
      </w:tr>
    </w:tbl>
    <w:p w14:paraId="46455E55">
      <w:pPr>
        <w:spacing w:line="400" w:lineRule="exac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746954BD">
      <w:pPr>
        <w:spacing w:line="400" w:lineRule="exact"/>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项目编号：</w:t>
      </w:r>
    </w:p>
    <w:p w14:paraId="29A4BBAF">
      <w:pPr>
        <w:spacing w:line="400" w:lineRule="exact"/>
        <w:ind w:firstLine="480"/>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w:t>
      </w:r>
      <w:r>
        <w:rPr>
          <w:rFonts w:hint="eastAsia" w:ascii="宋体" w:hAnsi="宋体" w:eastAsia="宋体" w:cs="宋体"/>
          <w:bCs/>
          <w:sz w:val="24"/>
          <w:szCs w:val="24"/>
          <w:highlight w:val="none"/>
        </w:rPr>
        <w:t>：</w:t>
      </w:r>
      <w:r>
        <w:rPr>
          <w:rFonts w:hint="eastAsia" w:ascii="宋体" w:hAnsi="宋体" w:eastAsia="宋体" w:cs="宋体"/>
          <w:sz w:val="24"/>
          <w:szCs w:val="24"/>
          <w:highlight w:val="none"/>
          <w:lang w:eastAsia="zh-CN"/>
        </w:rPr>
        <w:t>江苏省盱眙中等专业学校校园绿化保洁项目</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 xml:space="preserve"> </w:t>
      </w:r>
    </w:p>
    <w:p w14:paraId="0BB2ECCF">
      <w:pPr>
        <w:spacing w:line="400" w:lineRule="exact"/>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采购方式：竞争性磋商</w:t>
      </w:r>
    </w:p>
    <w:p w14:paraId="559F8A9A">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预算金额</w:t>
      </w:r>
      <w:r>
        <w:rPr>
          <w:rFonts w:hint="eastAsia" w:ascii="宋体" w:hAnsi="宋体" w:eastAsia="宋体" w:cs="宋体"/>
          <w:bCs/>
          <w:sz w:val="24"/>
          <w:szCs w:val="24"/>
          <w:highlight w:val="none"/>
        </w:rPr>
        <w:t>：</w:t>
      </w:r>
      <w:r>
        <w:rPr>
          <w:rFonts w:hint="eastAsia" w:ascii="宋体" w:hAnsi="宋体" w:eastAsia="宋体" w:cs="宋体"/>
          <w:sz w:val="24"/>
          <w:szCs w:val="24"/>
          <w:highlight w:val="none"/>
          <w:lang w:val="en-US" w:eastAsia="zh-CN"/>
        </w:rPr>
        <w:t>220万</w:t>
      </w:r>
      <w:r>
        <w:rPr>
          <w:rFonts w:hint="eastAsia" w:ascii="宋体" w:hAnsi="宋体" w:eastAsia="宋体" w:cs="宋体"/>
          <w:sz w:val="24"/>
          <w:szCs w:val="24"/>
          <w:highlight w:val="none"/>
          <w:lang w:eastAsia="zh-CN"/>
        </w:rPr>
        <w:t>元</w:t>
      </w:r>
      <w:r>
        <w:rPr>
          <w:rFonts w:hint="eastAsia" w:ascii="宋体" w:hAnsi="宋体" w:eastAsia="宋体" w:cs="宋体"/>
          <w:sz w:val="24"/>
          <w:szCs w:val="24"/>
          <w:highlight w:val="none"/>
        </w:rPr>
        <w:t>；</w:t>
      </w:r>
    </w:p>
    <w:p w14:paraId="611E162A">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最高限价</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220万</w:t>
      </w:r>
      <w:r>
        <w:rPr>
          <w:rFonts w:hint="eastAsia" w:ascii="宋体" w:hAnsi="宋体" w:eastAsia="宋体" w:cs="宋体"/>
          <w:sz w:val="24"/>
          <w:szCs w:val="24"/>
          <w:highlight w:val="none"/>
          <w:lang w:eastAsia="zh-CN"/>
        </w:rPr>
        <w:t>元</w:t>
      </w:r>
      <w:r>
        <w:rPr>
          <w:rFonts w:hint="eastAsia" w:ascii="宋体" w:hAnsi="宋体" w:eastAsia="宋体" w:cs="宋体"/>
          <w:sz w:val="24"/>
          <w:szCs w:val="24"/>
          <w:highlight w:val="none"/>
        </w:rPr>
        <w:t>；</w:t>
      </w:r>
    </w:p>
    <w:p w14:paraId="2C6D282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eastAsia="zh-CN"/>
        </w:rPr>
        <w:t>江苏省盱眙中等专业学校校园绿化保洁项目：</w:t>
      </w:r>
      <w:r>
        <w:rPr>
          <w:rFonts w:hint="eastAsia" w:ascii="宋体" w:hAnsi="宋体" w:eastAsia="宋体" w:cs="宋体"/>
          <w:sz w:val="24"/>
          <w:szCs w:val="24"/>
          <w:highlight w:val="none"/>
          <w:lang w:val="en-US" w:eastAsia="zh-CN"/>
        </w:rPr>
        <w:t>（1）卫生保洁；（2）校园零星工程维修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（3）校园区域绿化服务；</w:t>
      </w:r>
      <w:r>
        <w:rPr>
          <w:rFonts w:hint="eastAsia" w:ascii="宋体" w:hAnsi="宋体" w:eastAsia="宋体" w:cs="宋体"/>
          <w:sz w:val="24"/>
          <w:szCs w:val="24"/>
          <w:highlight w:val="none"/>
        </w:rPr>
        <w:t>具体详见磋商文件第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章项目采购需求；</w:t>
      </w:r>
    </w:p>
    <w:p w14:paraId="38097DC2">
      <w:pPr>
        <w:spacing w:line="400" w:lineRule="exact"/>
        <w:ind w:firstLine="480"/>
        <w:rPr>
          <w:rFonts w:hint="eastAsia" w:ascii="宋体" w:hAnsi="宋体" w:eastAsia="宋体" w:cs="宋体"/>
          <w:sz w:val="24"/>
          <w:szCs w:val="24"/>
          <w:highlight w:val="none"/>
          <w:lang w:eastAsia="zh-CN"/>
        </w:rPr>
      </w:pPr>
      <w:bookmarkStart w:id="4" w:name="OLE_LINK9"/>
      <w:bookmarkEnd w:id="4"/>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bookmarkStart w:id="5" w:name="OLE_LINK21"/>
      <w:r>
        <w:rPr>
          <w:rFonts w:hint="eastAsia" w:ascii="宋体" w:hAnsi="宋体" w:eastAsia="宋体" w:cs="宋体"/>
          <w:sz w:val="24"/>
          <w:szCs w:val="24"/>
          <w:highlight w:val="none"/>
          <w:lang w:val="en-US" w:eastAsia="zh-CN"/>
        </w:rPr>
        <w:t>服务期3</w:t>
      </w:r>
      <w:r>
        <w:rPr>
          <w:rFonts w:hint="eastAsia" w:ascii="宋体" w:hAnsi="宋体" w:eastAsia="宋体" w:cs="宋体"/>
          <w:sz w:val="24"/>
          <w:szCs w:val="24"/>
          <w:highlight w:val="none"/>
          <w:lang w:eastAsia="zh-CN"/>
        </w:rPr>
        <w:t>年</w:t>
      </w:r>
      <w:bookmarkEnd w:id="5"/>
      <w:r>
        <w:rPr>
          <w:rFonts w:hint="eastAsia" w:ascii="宋体" w:hAnsi="宋体" w:cs="宋体"/>
          <w:sz w:val="24"/>
          <w:szCs w:val="24"/>
          <w:highlight w:val="none"/>
          <w:lang w:eastAsia="zh-CN"/>
        </w:rPr>
        <w:t>。</w:t>
      </w:r>
    </w:p>
    <w:p w14:paraId="4C304851">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本项目不接受联合体投标。</w:t>
      </w:r>
    </w:p>
    <w:p w14:paraId="7DA223AE">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本项目采购标的对应的中小企业划分标准所属行业为</w:t>
      </w:r>
      <w:r>
        <w:rPr>
          <w:rFonts w:hint="eastAsia" w:ascii="宋体" w:hAnsi="宋体" w:eastAsia="宋体" w:cs="宋体"/>
          <w:sz w:val="24"/>
          <w:szCs w:val="24"/>
          <w:highlight w:val="none"/>
          <w:u w:val="single"/>
          <w:lang w:eastAsia="zh-CN"/>
        </w:rPr>
        <w:t>物业管理</w:t>
      </w:r>
      <w:r>
        <w:rPr>
          <w:rFonts w:hint="eastAsia" w:ascii="宋体" w:hAnsi="宋体" w:eastAsia="宋体" w:cs="宋体"/>
          <w:sz w:val="24"/>
          <w:szCs w:val="24"/>
          <w:highlight w:val="none"/>
        </w:rPr>
        <w:t>。</w:t>
      </w:r>
    </w:p>
    <w:p w14:paraId="43DF0918">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二、申请人的资格要求：</w:t>
      </w:r>
    </w:p>
    <w:p w14:paraId="5A7E421A">
      <w:pPr>
        <w:keepNext w:val="0"/>
        <w:keepLines w:val="0"/>
        <w:pageBreakBefore w:val="0"/>
        <w:widowControl w:val="0"/>
        <w:spacing w:line="400" w:lineRule="exact"/>
        <w:ind w:firstLine="480"/>
        <w:rPr>
          <w:rFonts w:hint="eastAsia" w:ascii="宋体" w:hAnsi="宋体" w:eastAsia="宋体" w:cs="宋体"/>
          <w:color w:val="000000"/>
          <w:sz w:val="24"/>
          <w:highlight w:val="none"/>
          <w:lang w:val="zh-CN" w:eastAsia="zh-CN"/>
        </w:rPr>
      </w:pPr>
      <w:r>
        <w:rPr>
          <w:rFonts w:hint="eastAsia" w:ascii="宋体" w:hAnsi="宋体" w:eastAsia="宋体" w:cs="宋体"/>
          <w:sz w:val="24"/>
          <w:szCs w:val="24"/>
          <w:highlight w:val="none"/>
        </w:rPr>
        <w:t>（一）</w:t>
      </w:r>
      <w:r>
        <w:rPr>
          <w:rFonts w:hint="eastAsia" w:ascii="宋体" w:hAnsi="宋体" w:eastAsia="宋体" w:cs="宋体"/>
          <w:color w:val="000000"/>
          <w:sz w:val="24"/>
          <w:highlight w:val="none"/>
          <w:lang w:val="zh-CN" w:eastAsia="zh-CN"/>
        </w:rPr>
        <w:t>满足《中华人民共和国政府采购法》第二十二条规定：</w:t>
      </w:r>
    </w:p>
    <w:p w14:paraId="79F0CFFA">
      <w:pPr>
        <w:keepNext w:val="0"/>
        <w:keepLines w:val="0"/>
        <w:pageBreakBefore w:val="0"/>
        <w:widowControl w:val="0"/>
        <w:spacing w:line="400" w:lineRule="exact"/>
        <w:ind w:firstLine="480"/>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zh-CN" w:eastAsia="zh-CN"/>
        </w:rPr>
        <w:t>.符合《中华人民共和国政府采购法》第二十二条规定条件的声明函（格式按照示范格式要求）；</w:t>
      </w:r>
    </w:p>
    <w:p w14:paraId="75E57BB9">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rPr>
          <w:rFonts w:hint="eastAsia" w:ascii="宋体" w:hAnsi="宋体" w:eastAsia="宋体" w:cs="宋体"/>
          <w:highlight w:val="none"/>
          <w:lang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供应商可任选其中一项（提供下列任一项材料即可）</w:t>
      </w:r>
      <w:r>
        <w:rPr>
          <w:rFonts w:hint="eastAsia" w:ascii="宋体" w:hAnsi="宋体" w:eastAsia="宋体" w:cs="宋体"/>
          <w:color w:val="000000"/>
          <w:sz w:val="24"/>
          <w:highlight w:val="none"/>
          <w:lang w:eastAsia="zh-CN"/>
        </w:rPr>
        <w:t>：</w:t>
      </w:r>
    </w:p>
    <w:p w14:paraId="33713406">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rPr>
          <w:rFonts w:hint="eastAsia" w:ascii="宋体" w:hAnsi="宋体" w:eastAsia="宋体" w:cs="宋体"/>
          <w:highlight w:val="none"/>
          <w:lang w:eastAsia="zh-CN"/>
        </w:rPr>
      </w:pPr>
      <w:r>
        <w:rPr>
          <w:rFonts w:hint="eastAsia" w:ascii="宋体" w:hAnsi="宋体" w:eastAsia="宋体" w:cs="宋体"/>
          <w:color w:val="000000"/>
          <w:sz w:val="24"/>
          <w:highlight w:val="none"/>
        </w:rPr>
        <w:t>（1）法定代表人资格证明（格式按照示范格式一要求）和法定代表人身份证（扫描件上传至电子响应文件）</w:t>
      </w:r>
      <w:r>
        <w:rPr>
          <w:rFonts w:hint="eastAsia" w:ascii="宋体" w:hAnsi="宋体" w:eastAsia="宋体" w:cs="宋体"/>
          <w:color w:val="000000"/>
          <w:sz w:val="24"/>
          <w:highlight w:val="none"/>
          <w:lang w:eastAsia="zh-CN"/>
        </w:rPr>
        <w:t>；</w:t>
      </w:r>
    </w:p>
    <w:p w14:paraId="34236B94">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（2）授权委托书（格式按照示范格式二要求）和受托人身份证（扫描件上传至电子响应文件）</w:t>
      </w:r>
      <w:r>
        <w:rPr>
          <w:rFonts w:hint="eastAsia" w:ascii="宋体" w:hAnsi="宋体" w:eastAsia="宋体" w:cs="宋体"/>
          <w:color w:val="000000"/>
          <w:sz w:val="24"/>
          <w:highlight w:val="none"/>
          <w:lang w:eastAsia="zh-CN"/>
        </w:rPr>
        <w:t>；</w:t>
      </w:r>
    </w:p>
    <w:p w14:paraId="70F374C4">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zh-CN" w:eastAsia="zh-CN"/>
        </w:rPr>
        <w:t>提供下列任一项材料即可</w:t>
      </w:r>
      <w:r>
        <w:rPr>
          <w:rFonts w:hint="eastAsia" w:ascii="宋体" w:hAnsi="宋体" w:eastAsia="宋体" w:cs="宋体"/>
          <w:color w:val="000000"/>
          <w:sz w:val="24"/>
          <w:highlight w:val="none"/>
          <w:lang w:eastAsia="zh-CN"/>
        </w:rPr>
        <w:t>：</w:t>
      </w:r>
    </w:p>
    <w:p w14:paraId="3D04B17C">
      <w:pPr>
        <w:keepNext w:val="0"/>
        <w:keepLines w:val="0"/>
        <w:pageBreakBefore w:val="0"/>
        <w:widowControl w:val="0"/>
        <w:spacing w:line="400" w:lineRule="exact"/>
        <w:ind w:firstLine="480"/>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（1）</w:t>
      </w:r>
      <w:r>
        <w:rPr>
          <w:rFonts w:hint="eastAsia" w:ascii="宋体" w:hAnsi="宋体" w:eastAsia="宋体" w:cs="宋体"/>
          <w:sz w:val="24"/>
          <w:szCs w:val="24"/>
          <w:highlight w:val="none"/>
        </w:rPr>
        <w:t>中小</w:t>
      </w:r>
      <w:r>
        <w:rPr>
          <w:rFonts w:hint="eastAsia" w:ascii="宋体" w:hAnsi="宋体" w:eastAsia="宋体" w:cs="宋体"/>
          <w:color w:val="000000"/>
          <w:sz w:val="24"/>
          <w:highlight w:val="none"/>
          <w:lang w:val="zh-CN" w:eastAsia="zh-CN"/>
        </w:rPr>
        <w:t>企业声明函（格式按照示范格式四要求）</w:t>
      </w:r>
    </w:p>
    <w:p w14:paraId="2E2214C4">
      <w:pPr>
        <w:keepNext w:val="0"/>
        <w:keepLines w:val="0"/>
        <w:pageBreakBefore w:val="0"/>
        <w:widowControl w:val="0"/>
        <w:spacing w:line="400" w:lineRule="exact"/>
        <w:ind w:firstLine="480"/>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（2）残疾人福利性单位声明函（格式按照示范格式五要求）</w:t>
      </w:r>
    </w:p>
    <w:p w14:paraId="51615BCE">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（3）由省级以上监狱管理局、戒毒管理局（含新疆生产建设兵团）出具的属于监狱企业的证明文件）（加盖出具单位公章的电子件）</w:t>
      </w:r>
    </w:p>
    <w:p w14:paraId="3BD64DC4">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（二）落实政府采购政策需满足的资格要求：</w:t>
      </w:r>
    </w:p>
    <w:p w14:paraId="219500D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本项目按照以下第</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种方式落实政府采购促进中小企业发展的要求：</w:t>
      </w:r>
    </w:p>
    <w:p w14:paraId="05FD1625">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1.本项目为专门面向中小企业采购的项目。</w:t>
      </w:r>
    </w:p>
    <w:p w14:paraId="6B27AA06">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2.本项目通过以下第（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）种方式预留部分采购份额采购中小企业服务：</w:t>
      </w:r>
    </w:p>
    <w:p w14:paraId="4D7465D2">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（1）本项目要求供应商以联合体形式参加，中小企业合同金额应当达到的比例为</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%，其中小微企业所占比例应为</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%（两项比例均应符合《政府采购促进中小企业发展管理办法》第八条规定）。</w:t>
      </w:r>
    </w:p>
    <w:p w14:paraId="7832C911">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（2）本项目要求供应商进行合同分包，中小企业合同金额应当达到的比例为</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%，其中小微企业所占比例应为</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%（两项比例均应符合《政府采购促进中小企业发展管理办法》第八条规定）。</w:t>
      </w:r>
    </w:p>
    <w:p w14:paraId="2494F640">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3.本项目为非预留份额的采购项目，对小微企业报价给予扣除，用扣除后的价格参加评审。</w:t>
      </w:r>
    </w:p>
    <w:p w14:paraId="6CA4367E">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注：监狱企业、残疾人福利性单位视同小微企业。</w:t>
      </w:r>
      <w:r>
        <w:rPr>
          <w:rFonts w:hint="eastAsia" w:ascii="宋体" w:hAnsi="宋体" w:eastAsia="宋体" w:cs="宋体"/>
          <w:sz w:val="24"/>
          <w:szCs w:val="20"/>
          <w:highlight w:val="none"/>
          <w:lang w:val="zh-CN" w:eastAsia="zh-CN" w:bidi="ar-SA"/>
        </w:rPr>
        <w:t>符合中小企业划分标准的个体工商户，在政府采购活动中视同中小企业，享受政府采购支持中小企业发展政策。</w:t>
      </w:r>
    </w:p>
    <w:p w14:paraId="2E623943">
      <w:pPr>
        <w:numPr>
          <w:ilvl w:val="0"/>
          <w:numId w:val="1"/>
        </w:numPr>
        <w:spacing w:line="400" w:lineRule="exact"/>
        <w:ind w:firstLine="48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本项目的特定资格要求：</w:t>
      </w:r>
    </w:p>
    <w:p w14:paraId="47B33BC5">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.有效的营业执照；（扫描件上传至电子响应文件）</w:t>
      </w:r>
    </w:p>
    <w:p w14:paraId="4B693496">
      <w:pPr>
        <w:spacing w:line="440" w:lineRule="exact"/>
        <w:ind w:firstLine="48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承诺书（格式按照示范格式三要求）（扫描件上传至电子响应文件）</w:t>
      </w:r>
      <w:r>
        <w:rPr>
          <w:rFonts w:hint="eastAsia" w:ascii="宋体" w:hAnsi="宋体" w:eastAsia="宋体" w:cs="宋体"/>
          <w:sz w:val="24"/>
          <w:szCs w:val="24"/>
          <w:highlight w:val="none"/>
          <w:lang w:eastAsia="zh-CN"/>
        </w:rPr>
        <w:t>；</w:t>
      </w:r>
    </w:p>
    <w:p w14:paraId="00404736">
      <w:pPr>
        <w:keepNext w:val="0"/>
        <w:keepLines w:val="0"/>
        <w:pageBreakBefore w:val="0"/>
        <w:widowControl w:val="0"/>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未被“信用中国”网（https://www.creditchina.gov.cn/）列入失信被执行人、重大税收违法案件当事人名单。供应商未被“中国政府采购网”（http://www.ccgp.gov.cn/）列入政府采购严重违法失信行为记录名单。由采购单位（采购代理单位）组织磋商小组在资格审查时查询，一旦被查询存在上述失信行为记录名单的，将视为资格审查不通过）</w:t>
      </w:r>
    </w:p>
    <w:p w14:paraId="5590DE20">
      <w:pPr>
        <w:spacing w:line="440" w:lineRule="exact"/>
        <w:ind w:firstLine="48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磋商文件第五章采购需求中</w:t>
      </w:r>
      <w:r>
        <w:rPr>
          <w:rFonts w:hint="eastAsia" w:ascii="宋体" w:hAnsi="宋体" w:cs="宋体"/>
          <w:sz w:val="24"/>
          <w:szCs w:val="24"/>
          <w:highlight w:val="none"/>
          <w:lang w:eastAsia="zh-CN"/>
        </w:rPr>
        <w:t>要求提供的资料。</w:t>
      </w:r>
    </w:p>
    <w:p w14:paraId="30F3FDC8">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（四）拒绝下述条件的供应商参加本次采购活动：</w:t>
      </w:r>
    </w:p>
    <w:p w14:paraId="7ED612E0">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1.供应商单位负责人为同一人或者存在直接控股、管理关系的不同供应商，不得同时参加同一合同项下的政府采购活动。</w:t>
      </w:r>
    </w:p>
    <w:p w14:paraId="31596BC8">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2.凡为采购项目提供整体设计、规范编制或者项目管理、监理、检测等服务的供应商，不得再参加本项目的采购活动。</w:t>
      </w:r>
    </w:p>
    <w:p w14:paraId="580E2DAA">
      <w:pPr>
        <w:spacing w:line="440" w:lineRule="exact"/>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3.供应商被“信用中国”网站、“中国政府采购网”列入失信被执行人、重大税收违法案件当事人名单、政府采购严重违法失信行为记录名单。</w:t>
      </w:r>
    </w:p>
    <w:p w14:paraId="6F685175">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三、获取磋商文件</w:t>
      </w:r>
    </w:p>
    <w:p w14:paraId="30B36C94">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b/>
          <w:bCs/>
          <w:color w:val="000000"/>
          <w:sz w:val="24"/>
          <w:highlight w:val="none"/>
          <w:lang w:val="en-US" w:eastAsia="zh-CN"/>
        </w:rPr>
        <w:t>自磋商文件公告发布之日起5个工作日</w:t>
      </w:r>
      <w:r>
        <w:rPr>
          <w:rFonts w:hint="eastAsia" w:ascii="宋体" w:hAnsi="宋体" w:eastAsia="宋体" w:cs="宋体"/>
          <w:b/>
          <w:bCs/>
          <w:sz w:val="24"/>
          <w:szCs w:val="24"/>
          <w:highlight w:val="none"/>
          <w:shd w:val="clear" w:color="auto" w:fill="FFFFFF"/>
        </w:rPr>
        <w:t>，</w:t>
      </w:r>
      <w:r>
        <w:rPr>
          <w:rFonts w:hint="eastAsia" w:ascii="宋体" w:hAnsi="宋体" w:eastAsia="宋体" w:cs="宋体"/>
          <w:bCs/>
          <w:sz w:val="24"/>
          <w:szCs w:val="24"/>
          <w:highlight w:val="none"/>
          <w:shd w:val="clear" w:color="auto" w:fill="FFFFFF"/>
        </w:rPr>
        <w:t>每天上午</w:t>
      </w:r>
      <w:r>
        <w:rPr>
          <w:rFonts w:hint="eastAsia" w:ascii="宋体" w:hAnsi="宋体" w:eastAsia="宋体" w:cs="宋体"/>
          <w:bCs/>
          <w:sz w:val="24"/>
          <w:szCs w:val="24"/>
          <w:highlight w:val="none"/>
          <w:shd w:val="clear" w:color="auto" w:fill="FFFFFF"/>
          <w:lang w:val="en-US" w:eastAsia="zh-CN"/>
        </w:rPr>
        <w:t>08：30-11：30</w:t>
      </w:r>
      <w:r>
        <w:rPr>
          <w:rFonts w:hint="eastAsia" w:ascii="宋体" w:hAnsi="宋体" w:eastAsia="宋体" w:cs="宋体"/>
          <w:bCs/>
          <w:sz w:val="24"/>
          <w:szCs w:val="24"/>
          <w:highlight w:val="none"/>
          <w:shd w:val="clear" w:color="auto" w:fill="FFFFFF"/>
        </w:rPr>
        <w:t>,下午</w:t>
      </w:r>
      <w:r>
        <w:rPr>
          <w:rFonts w:hint="eastAsia" w:ascii="宋体" w:hAnsi="宋体" w:eastAsia="宋体" w:cs="宋体"/>
          <w:bCs/>
          <w:sz w:val="24"/>
          <w:szCs w:val="24"/>
          <w:highlight w:val="none"/>
          <w:shd w:val="clear" w:color="auto" w:fill="FFFFFF"/>
          <w:lang w:val="en-US" w:eastAsia="zh-CN"/>
        </w:rPr>
        <w:t>14：00-17：30</w:t>
      </w:r>
      <w:r>
        <w:rPr>
          <w:rFonts w:hint="eastAsia" w:ascii="宋体" w:hAnsi="宋体" w:eastAsia="宋体" w:cs="宋体"/>
          <w:bCs/>
          <w:sz w:val="24"/>
          <w:szCs w:val="24"/>
          <w:highlight w:val="none"/>
          <w:shd w:val="clear" w:color="auto" w:fill="FFFFFF"/>
        </w:rPr>
        <w:t>（北京时间，法定节假日除外）</w:t>
      </w:r>
    </w:p>
    <w:p w14:paraId="1A30AF37">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bookmarkStart w:id="6" w:name="OLE_LINK11"/>
      <w:r>
        <w:rPr>
          <w:rFonts w:hint="eastAsia" w:ascii="宋体" w:hAnsi="宋体" w:eastAsia="宋体" w:cs="宋体"/>
          <w:sz w:val="24"/>
          <w:szCs w:val="24"/>
          <w:highlight w:val="none"/>
        </w:rPr>
        <w:t xml:space="preserve">江苏省政府采购网或者淮安市政府采购网 </w:t>
      </w:r>
      <w:bookmarkEnd w:id="6"/>
    </w:p>
    <w:p w14:paraId="0DF93AE6">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方式：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 </w:t>
      </w:r>
    </w:p>
    <w:p w14:paraId="7400EE1D">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售价：0元</w:t>
      </w:r>
    </w:p>
    <w:p w14:paraId="40ED9BFA">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四、提交响应文件截止时间、磋商时间和地点</w:t>
      </w:r>
    </w:p>
    <w:p w14:paraId="386C0C31">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b/>
          <w:sz w:val="24"/>
          <w:szCs w:val="24"/>
          <w:highlight w:val="none"/>
          <w:shd w:val="clear" w:color="auto" w:fill="FFFFFF"/>
          <w:lang w:eastAsia="zh-CN"/>
        </w:rPr>
        <w:t>2025年</w:t>
      </w:r>
      <w:r>
        <w:rPr>
          <w:rFonts w:hint="eastAsia" w:ascii="宋体" w:hAnsi="宋体" w:eastAsia="宋体" w:cs="宋体"/>
          <w:b/>
          <w:sz w:val="24"/>
          <w:szCs w:val="24"/>
          <w:highlight w:val="none"/>
          <w:shd w:val="clear" w:color="auto" w:fill="FFFFFF"/>
          <w:lang w:val="en-US" w:eastAsia="zh-CN"/>
        </w:rPr>
        <w:t xml:space="preserve"> </w:t>
      </w:r>
      <w:r>
        <w:rPr>
          <w:rFonts w:hint="eastAsia" w:ascii="宋体" w:hAnsi="宋体" w:cs="宋体"/>
          <w:b/>
          <w:sz w:val="24"/>
          <w:szCs w:val="24"/>
          <w:highlight w:val="none"/>
          <w:shd w:val="clear" w:color="auto" w:fill="FFFFFF"/>
          <w:lang w:val="en-US" w:eastAsia="zh-CN"/>
        </w:rPr>
        <w:t>12</w:t>
      </w:r>
      <w:r>
        <w:rPr>
          <w:rFonts w:hint="eastAsia" w:ascii="宋体" w:hAnsi="宋体" w:eastAsia="宋体" w:cs="宋体"/>
          <w:b/>
          <w:sz w:val="24"/>
          <w:szCs w:val="24"/>
          <w:highlight w:val="none"/>
          <w:shd w:val="clear" w:color="auto" w:fill="FFFFFF"/>
          <w:lang w:val="en-US" w:eastAsia="zh-CN"/>
        </w:rPr>
        <w:t>月</w:t>
      </w:r>
      <w:r>
        <w:rPr>
          <w:rFonts w:hint="eastAsia" w:ascii="宋体" w:hAnsi="宋体" w:cs="宋体"/>
          <w:b/>
          <w:sz w:val="24"/>
          <w:szCs w:val="24"/>
          <w:highlight w:val="none"/>
          <w:shd w:val="clear" w:color="auto" w:fill="FFFFFF"/>
          <w:lang w:val="en-US" w:eastAsia="zh-CN"/>
        </w:rPr>
        <w:t>29</w:t>
      </w:r>
      <w:r>
        <w:rPr>
          <w:rFonts w:hint="eastAsia" w:ascii="宋体" w:hAnsi="宋体" w:eastAsia="宋体" w:cs="宋体"/>
          <w:b/>
          <w:sz w:val="24"/>
          <w:szCs w:val="24"/>
          <w:highlight w:val="none"/>
          <w:shd w:val="clear" w:color="auto" w:fill="FFFFFF"/>
          <w:lang w:eastAsia="zh-CN"/>
        </w:rPr>
        <w:t>日上午</w:t>
      </w:r>
      <w:r>
        <w:rPr>
          <w:rFonts w:hint="eastAsia" w:ascii="宋体" w:hAnsi="宋体" w:eastAsia="宋体" w:cs="宋体"/>
          <w:b/>
          <w:sz w:val="24"/>
          <w:szCs w:val="24"/>
          <w:highlight w:val="none"/>
          <w:shd w:val="clear" w:color="auto" w:fill="FFFFFF"/>
          <w:lang w:val="en-US" w:eastAsia="zh-CN"/>
        </w:rPr>
        <w:t>9</w:t>
      </w:r>
      <w:r>
        <w:rPr>
          <w:rFonts w:hint="eastAsia" w:ascii="宋体" w:hAnsi="宋体" w:eastAsia="宋体" w:cs="宋体"/>
          <w:b/>
          <w:sz w:val="24"/>
          <w:szCs w:val="24"/>
          <w:highlight w:val="none"/>
          <w:shd w:val="clear" w:color="auto" w:fill="FFFFFF"/>
          <w:lang w:eastAsia="zh-CN"/>
        </w:rPr>
        <w:t>点00分</w:t>
      </w:r>
      <w:r>
        <w:rPr>
          <w:rFonts w:hint="eastAsia" w:ascii="宋体" w:hAnsi="宋体" w:eastAsia="宋体" w:cs="宋体"/>
          <w:sz w:val="24"/>
          <w:szCs w:val="24"/>
          <w:highlight w:val="none"/>
        </w:rPr>
        <w:t>前</w:t>
      </w:r>
      <w:r>
        <w:rPr>
          <w:rFonts w:hint="eastAsia" w:ascii="宋体" w:hAnsi="宋体" w:eastAsia="宋体" w:cs="宋体"/>
          <w:sz w:val="24"/>
          <w:szCs w:val="24"/>
          <w:highlight w:val="none"/>
        </w:rPr>
        <w:t xml:space="preserve">（北京时间） </w:t>
      </w:r>
    </w:p>
    <w:p w14:paraId="0DE3CB59">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地点： 本项目采用远程“不见面”开标方式，无需到现场提交，请供应商在开标时间截止前提前登入苏采云政府采购一体化平台（网址：</w:t>
      </w:r>
      <w:r>
        <w:rPr>
          <w:rFonts w:hint="eastAsia" w:ascii="宋体" w:hAnsi="宋体" w:eastAsia="宋体" w:cs="宋体"/>
          <w:color w:val="auto"/>
          <w:sz w:val="24"/>
          <w:highlight w:val="none"/>
          <w:lang w:val="en-US" w:eastAsia="zh-CN"/>
        </w:rPr>
        <w:t>http://jszfcg.jscz.gov.cn/jszc/login</w:t>
      </w:r>
      <w:r>
        <w:rPr>
          <w:rFonts w:hint="eastAsia" w:ascii="宋体" w:hAnsi="宋体" w:eastAsia="宋体" w:cs="宋体"/>
          <w:sz w:val="24"/>
          <w:szCs w:val="24"/>
          <w:highlight w:val="none"/>
        </w:rPr>
        <w:t>）提交投标文件。</w:t>
      </w:r>
    </w:p>
    <w:p w14:paraId="39255E59">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五、开启</w:t>
      </w:r>
    </w:p>
    <w:p w14:paraId="1AB3AC7F">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b/>
          <w:sz w:val="24"/>
          <w:szCs w:val="24"/>
          <w:highlight w:val="none"/>
          <w:shd w:val="clear" w:color="auto" w:fill="FFFFFF"/>
          <w:lang w:eastAsia="zh-CN"/>
        </w:rPr>
        <w:t>2025年</w:t>
      </w:r>
      <w:r>
        <w:rPr>
          <w:rFonts w:hint="eastAsia" w:ascii="宋体" w:hAnsi="宋体" w:cs="宋体"/>
          <w:b/>
          <w:sz w:val="24"/>
          <w:szCs w:val="24"/>
          <w:highlight w:val="none"/>
          <w:shd w:val="clear" w:color="auto" w:fill="FFFFFF"/>
          <w:lang w:val="en-US" w:eastAsia="zh-CN"/>
        </w:rPr>
        <w:t>12</w:t>
      </w:r>
      <w:r>
        <w:rPr>
          <w:rFonts w:hint="eastAsia" w:ascii="宋体" w:hAnsi="宋体" w:eastAsia="宋体" w:cs="宋体"/>
          <w:b/>
          <w:sz w:val="24"/>
          <w:szCs w:val="24"/>
          <w:highlight w:val="none"/>
          <w:shd w:val="clear" w:color="auto" w:fill="FFFFFF"/>
          <w:lang w:eastAsia="zh-CN"/>
        </w:rPr>
        <w:t>月</w:t>
      </w:r>
      <w:r>
        <w:rPr>
          <w:rFonts w:hint="eastAsia" w:ascii="宋体" w:hAnsi="宋体" w:cs="宋体"/>
          <w:b/>
          <w:sz w:val="24"/>
          <w:szCs w:val="24"/>
          <w:highlight w:val="none"/>
          <w:shd w:val="clear" w:color="auto" w:fill="FFFFFF"/>
          <w:lang w:val="en-US" w:eastAsia="zh-CN"/>
        </w:rPr>
        <w:t>29</w:t>
      </w:r>
      <w:r>
        <w:rPr>
          <w:rFonts w:hint="eastAsia" w:ascii="宋体" w:hAnsi="宋体" w:eastAsia="宋体" w:cs="宋体"/>
          <w:b/>
          <w:sz w:val="24"/>
          <w:szCs w:val="24"/>
          <w:highlight w:val="none"/>
          <w:shd w:val="clear" w:color="auto" w:fill="FFFFFF"/>
          <w:lang w:eastAsia="zh-CN"/>
        </w:rPr>
        <w:t>日上午</w:t>
      </w:r>
      <w:r>
        <w:rPr>
          <w:rFonts w:hint="eastAsia" w:ascii="宋体" w:hAnsi="宋体" w:eastAsia="宋体" w:cs="宋体"/>
          <w:b/>
          <w:sz w:val="24"/>
          <w:szCs w:val="24"/>
          <w:highlight w:val="none"/>
          <w:shd w:val="clear" w:color="auto" w:fill="FFFFFF"/>
          <w:lang w:val="en-US" w:eastAsia="zh-CN"/>
        </w:rPr>
        <w:t>9</w:t>
      </w:r>
      <w:r>
        <w:rPr>
          <w:rFonts w:hint="eastAsia" w:ascii="宋体" w:hAnsi="宋体" w:eastAsia="宋体" w:cs="宋体"/>
          <w:b/>
          <w:sz w:val="24"/>
          <w:szCs w:val="24"/>
          <w:highlight w:val="none"/>
          <w:shd w:val="clear" w:color="auto" w:fill="FFFFFF"/>
          <w:lang w:eastAsia="zh-CN"/>
        </w:rPr>
        <w:t>点00分</w:t>
      </w:r>
      <w:r>
        <w:rPr>
          <w:rFonts w:hint="eastAsia" w:ascii="宋体" w:hAnsi="宋体" w:eastAsia="宋体" w:cs="宋体"/>
          <w:sz w:val="24"/>
          <w:szCs w:val="24"/>
          <w:highlight w:val="none"/>
        </w:rPr>
        <w:t>（北京时间）</w:t>
      </w:r>
      <w:bookmarkStart w:id="19" w:name="_GoBack"/>
      <w:bookmarkEnd w:id="19"/>
    </w:p>
    <w:p w14:paraId="6B60E6EA">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地点：不见面开标大厅</w:t>
      </w:r>
    </w:p>
    <w:p w14:paraId="14B97F75">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六、公告期限</w:t>
      </w:r>
    </w:p>
    <w:p w14:paraId="1AB0F6B3">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个工作日。</w:t>
      </w:r>
    </w:p>
    <w:p w14:paraId="1EBE056B">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七、其他补充事宜</w:t>
      </w:r>
    </w:p>
    <w:p w14:paraId="5F282EA9">
      <w:pPr>
        <w:keepNext w:val="0"/>
        <w:keepLines w:val="0"/>
        <w:pageBreakBefore w:val="0"/>
        <w:widowControl w:val="0"/>
        <w:spacing w:line="4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（一）本次采购不收取磋商保证金；</w:t>
      </w:r>
    </w:p>
    <w:p w14:paraId="54C128CD">
      <w:pPr>
        <w:keepNext w:val="0"/>
        <w:keepLines w:val="0"/>
        <w:pageBreakBefore w:val="0"/>
        <w:widowControl w:val="0"/>
        <w:spacing w:line="4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（二）履约保证金：成交供应商必须在签订合同之前，向采购人缴纳中标总价1%的履约保证金，否则招标人可取消其中标资格；</w:t>
      </w:r>
    </w:p>
    <w:p w14:paraId="21D7D028">
      <w:pPr>
        <w:pStyle w:val="16"/>
        <w:spacing w:line="400" w:lineRule="exact"/>
        <w:ind w:firstLine="480"/>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三）本项目采用“苏采云全流程不见面交易”模式，通过不见面交易系统及相应的配套硬件设备（摄像头、话筒、麦克风等）完成远程解密、公布报价、澄清等交互环节。相关要求和说明详见第二章“供应商须知”。</w:t>
      </w:r>
    </w:p>
    <w:p w14:paraId="7E98D9D6">
      <w:pPr>
        <w:pStyle w:val="16"/>
        <w:spacing w:line="400" w:lineRule="exact"/>
        <w:ind w:firstLine="480"/>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四）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供应商通过苏采云系统参与政府采购项目，需要更换CA数字证书和电子签章。具体办理指南和操作手册见链接：http://www.ccgp-jiangsu.gov.cn/jiangsu/zlxz/ee/ee3a4bc5a3454aa2b0d9312230633ce9.html。</w:t>
      </w:r>
    </w:p>
    <w:p w14:paraId="06BC61D2">
      <w:pPr>
        <w:pStyle w:val="16"/>
        <w:spacing w:line="400" w:lineRule="exact"/>
        <w:ind w:firstLine="480"/>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五）领取CA和办理电子签章（请至淮安市清江浦区深圳路16号淮安市公共资源交易中心二楼13号CA办理窗口办理，具体联系方式见《苏采云系统供应商操作手册》（以下简称《操作手册》））、进行注册并按《操作手册》要求制作、上传电子响应文件。</w:t>
      </w:r>
    </w:p>
    <w:p w14:paraId="6930B00C">
      <w:pPr>
        <w:pStyle w:val="16"/>
        <w:spacing w:line="400" w:lineRule="exact"/>
        <w:ind w:firstLine="480"/>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（六）有关本次招标的事项若存在变动或修改，敬请及时关注淮安市政府采购网或江苏省政府采购网发布的更正公告，否则产生的后果由供应商自行承担。</w:t>
      </w:r>
    </w:p>
    <w:p w14:paraId="1C9653D0">
      <w:pPr>
        <w:spacing w:line="40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八、对本次采购提出询问，请按以下方式联系。</w:t>
      </w:r>
    </w:p>
    <w:p w14:paraId="1133773A">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1.采购人联系方式</w:t>
      </w:r>
    </w:p>
    <w:p w14:paraId="12FD90A6">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称：江苏省盱眙中等专业学校</w:t>
      </w:r>
    </w:p>
    <w:p w14:paraId="24D6F72B">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盱眙县山水大道1号</w:t>
      </w:r>
    </w:p>
    <w:p w14:paraId="4FB532FF">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eastAsia="zh-CN"/>
        </w:rPr>
        <w:t>顾主任</w:t>
      </w:r>
      <w:r>
        <w:rPr>
          <w:rFonts w:hint="eastAsia" w:ascii="宋体" w:hAnsi="宋体" w:eastAsia="宋体" w:cs="宋体"/>
          <w:sz w:val="24"/>
          <w:szCs w:val="24"/>
          <w:highlight w:val="none"/>
        </w:rPr>
        <w:t xml:space="preserve">      </w:t>
      </w:r>
    </w:p>
    <w:p w14:paraId="00113A2F">
      <w:pPr>
        <w:spacing w:line="400" w:lineRule="exact"/>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13952357889</w:t>
      </w:r>
    </w:p>
    <w:p w14:paraId="4269B7D9">
      <w:pPr>
        <w:spacing w:line="4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6876B3F">
      <w:pPr>
        <w:spacing w:line="400" w:lineRule="exact"/>
        <w:ind w:firstLine="480"/>
        <w:rPr>
          <w:rFonts w:hint="eastAsia" w:ascii="宋体" w:hAnsi="宋体" w:eastAsia="宋体" w:cs="宋体"/>
          <w:sz w:val="24"/>
          <w:szCs w:val="24"/>
          <w:highlight w:val="none"/>
          <w:lang w:eastAsia="zh-CN"/>
        </w:rPr>
      </w:pPr>
      <w:bookmarkStart w:id="7" w:name="OLE_LINK14"/>
      <w:bookmarkEnd w:id="7"/>
      <w:r>
        <w:rPr>
          <w:rFonts w:hint="eastAsia" w:ascii="宋体" w:hAnsi="宋体" w:eastAsia="宋体" w:cs="宋体"/>
          <w:sz w:val="24"/>
          <w:szCs w:val="24"/>
          <w:highlight w:val="none"/>
        </w:rPr>
        <w:t xml:space="preserve">名  </w:t>
      </w:r>
      <w:bookmarkStart w:id="8" w:name="OLE_LINK5"/>
      <w:r>
        <w:rPr>
          <w:rFonts w:hint="eastAsia" w:ascii="宋体" w:hAnsi="宋体" w:eastAsia="宋体" w:cs="宋体"/>
          <w:sz w:val="24"/>
          <w:szCs w:val="24"/>
          <w:highlight w:val="none"/>
        </w:rPr>
        <w:t xml:space="preserve">  称：</w:t>
      </w:r>
      <w:bookmarkEnd w:id="8"/>
      <w:r>
        <w:rPr>
          <w:rFonts w:hint="eastAsia" w:ascii="宋体" w:hAnsi="宋体" w:eastAsia="宋体" w:cs="宋体"/>
          <w:sz w:val="24"/>
          <w:szCs w:val="24"/>
          <w:highlight w:val="none"/>
          <w:lang w:eastAsia="zh-CN"/>
        </w:rPr>
        <w:t>江苏顺天工程项目管理咨询有限公司</w:t>
      </w:r>
    </w:p>
    <w:p w14:paraId="1BCC8EC1">
      <w:pPr>
        <w:spacing w:line="400" w:lineRule="exact"/>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val="en-US" w:eastAsia="zh-CN"/>
        </w:rPr>
        <w:t>淮安经济技术开发区西安路48号1幢2-1301室</w:t>
      </w:r>
    </w:p>
    <w:p w14:paraId="354185A9">
      <w:pPr>
        <w:spacing w:line="400" w:lineRule="exact"/>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王丽娟</w:t>
      </w:r>
    </w:p>
    <w:p w14:paraId="7E629DED">
      <w:pPr>
        <w:pStyle w:val="16"/>
        <w:snapToGrid w:val="0"/>
        <w:spacing w:line="300" w:lineRule="exact"/>
        <w:ind w:firstLine="480"/>
        <w:rPr>
          <w:rFonts w:hint="eastAsia" w:ascii="宋体" w:hAnsi="宋体" w:eastAsia="宋体" w:cs="宋体"/>
          <w:highlight w:val="none"/>
          <w:lang w:val="en-US" w:eastAsia="zh-CN"/>
        </w:rPr>
      </w:pPr>
      <w:r>
        <w:rPr>
          <w:rFonts w:hint="eastAsia" w:ascii="宋体" w:hAnsi="宋体" w:eastAsia="宋体" w:cs="宋体"/>
          <w:highlight w:val="none"/>
        </w:rPr>
        <w:t>电    话：</w:t>
      </w:r>
      <w:r>
        <w:rPr>
          <w:rFonts w:hint="eastAsia" w:ascii="宋体" w:hAnsi="宋体" w:eastAsia="宋体" w:cs="宋体"/>
          <w:highlight w:val="none"/>
          <w:lang w:val="en-US" w:eastAsia="zh-CN"/>
        </w:rPr>
        <w:t>18052351199</w:t>
      </w:r>
    </w:p>
    <w:p w14:paraId="4BB4A547">
      <w:pPr>
        <w:spacing w:line="400" w:lineRule="exact"/>
        <w:ind w:firstLine="48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江苏省盱眙中等专业学校</w:t>
      </w:r>
      <w:r>
        <w:rPr>
          <w:rFonts w:hint="eastAsia" w:ascii="宋体" w:hAnsi="宋体" w:eastAsia="宋体" w:cs="宋体"/>
          <w:sz w:val="24"/>
          <w:szCs w:val="24"/>
          <w:highlight w:val="none"/>
          <w:lang w:val="en-US" w:eastAsia="zh-CN"/>
        </w:rPr>
        <w:t xml:space="preserve">   </w:t>
      </w:r>
    </w:p>
    <w:p w14:paraId="142B14AD">
      <w:pPr>
        <w:spacing w:line="400" w:lineRule="exact"/>
        <w:ind w:firstLine="480"/>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2025年12月16日</w:t>
      </w:r>
    </w:p>
    <w:p w14:paraId="0C2C195B">
      <w:pPr>
        <w:spacing w:line="400" w:lineRule="exact"/>
        <w:ind w:firstLine="480"/>
        <w:jc w:val="center"/>
        <w:rPr>
          <w:rFonts w:hint="eastAsia" w:ascii="宋体" w:hAnsi="宋体" w:eastAsia="宋体" w:cs="宋体"/>
          <w:b/>
          <w:sz w:val="30"/>
          <w:szCs w:val="30"/>
          <w:highlight w:val="none"/>
        </w:rPr>
      </w:pPr>
      <w:r>
        <w:rPr>
          <w:rFonts w:hint="eastAsia" w:ascii="宋体" w:hAnsi="宋体" w:eastAsia="宋体" w:cs="宋体"/>
          <w:sz w:val="24"/>
          <w:szCs w:val="24"/>
          <w:highlight w:val="none"/>
        </w:rPr>
        <w:br w:type="page"/>
      </w:r>
      <w:r>
        <w:rPr>
          <w:rFonts w:hint="eastAsia" w:ascii="宋体" w:hAnsi="宋体" w:eastAsia="宋体" w:cs="宋体"/>
          <w:b/>
          <w:sz w:val="30"/>
          <w:szCs w:val="30"/>
          <w:highlight w:val="none"/>
        </w:rPr>
        <w:t>第二章  供应商须知</w:t>
      </w:r>
    </w:p>
    <w:p w14:paraId="6FA8344D">
      <w:pPr>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一、总则</w:t>
      </w:r>
    </w:p>
    <w:p w14:paraId="100775E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1.适用范围</w:t>
      </w:r>
    </w:p>
    <w:p w14:paraId="424D216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本竞争性磋商文件仅适用于本次采购邀请中所述项目的采购。</w:t>
      </w:r>
    </w:p>
    <w:p w14:paraId="489D7E37">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2.合格的供应商</w:t>
      </w:r>
    </w:p>
    <w:p w14:paraId="3F53F1A3">
      <w:pPr>
        <w:spacing w:line="420" w:lineRule="exact"/>
        <w:ind w:left="-359" w:firstLine="78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2.1满足第一章磋商邀请中供应商资格要求的规定。 </w:t>
      </w:r>
    </w:p>
    <w:p w14:paraId="0C27FE9C">
      <w:pPr>
        <w:spacing w:line="420" w:lineRule="exact"/>
        <w:ind w:firstLine="48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2.2</w:t>
      </w:r>
      <w:r>
        <w:rPr>
          <w:rFonts w:hint="eastAsia" w:ascii="宋体" w:hAnsi="宋体" w:eastAsia="宋体" w:cs="宋体"/>
          <w:sz w:val="24"/>
          <w:szCs w:val="24"/>
          <w:highlight w:val="none"/>
        </w:rPr>
        <w:t>满足磋商文件中实质性条款的规定。</w:t>
      </w:r>
    </w:p>
    <w:p w14:paraId="4FFDBB98">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3.适用法律</w:t>
      </w:r>
    </w:p>
    <w:p w14:paraId="029BF37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3.1《中华人民共和国政府采购法》《中华人民共和国政府采购法实施条例》《政府采购竞争性磋商采购方式管理暂行办法》等有关法律、规章和规定等。</w:t>
      </w:r>
    </w:p>
    <w:p w14:paraId="7B3FAFD0">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4.磋商费用</w:t>
      </w:r>
    </w:p>
    <w:p w14:paraId="00397B9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4.1供应商应自行承担所有与参加磋商有关的费用。不论磋商的结果如何，采购人在任何情况下均无义务和责任承担这些费用。</w:t>
      </w:r>
    </w:p>
    <w:p w14:paraId="5D6BC654">
      <w:pPr>
        <w:spacing w:line="42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4.2</w:t>
      </w:r>
      <w:r>
        <w:rPr>
          <w:rFonts w:hint="eastAsia" w:ascii="宋体" w:hAnsi="宋体" w:eastAsia="宋体" w:cs="宋体"/>
          <w:b/>
          <w:bCs/>
          <w:sz w:val="24"/>
          <w:szCs w:val="24"/>
          <w:highlight w:val="none"/>
          <w:lang w:val="en-US" w:eastAsia="zh-CN"/>
        </w:rPr>
        <w:t>本项目招标代理费8800元。</w:t>
      </w:r>
    </w:p>
    <w:p w14:paraId="4B085864">
      <w:pPr>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二、磋商文件</w:t>
      </w:r>
    </w:p>
    <w:p w14:paraId="41085D86">
      <w:pPr>
        <w:spacing w:line="42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5.磋商文件</w:t>
      </w:r>
      <w:r>
        <w:rPr>
          <w:rFonts w:hint="eastAsia" w:ascii="宋体" w:hAnsi="宋体" w:eastAsia="宋体" w:cs="宋体"/>
          <w:sz w:val="24"/>
          <w:szCs w:val="24"/>
          <w:highlight w:val="none"/>
        </w:rPr>
        <w:t>由以下部分组成：</w:t>
      </w:r>
    </w:p>
    <w:p w14:paraId="4458C67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5.1磋商邀请</w:t>
      </w:r>
    </w:p>
    <w:p w14:paraId="1017646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5.2供应商须知</w:t>
      </w:r>
    </w:p>
    <w:p w14:paraId="1744C01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5.3评标标准</w:t>
      </w:r>
    </w:p>
    <w:p w14:paraId="27EADD2D">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5.4磋商项目概况及需求</w:t>
      </w:r>
    </w:p>
    <w:p w14:paraId="5CE8942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5.5合同格式及条款</w:t>
      </w:r>
    </w:p>
    <w:p w14:paraId="084CED8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5.6响应文件</w:t>
      </w:r>
    </w:p>
    <w:p w14:paraId="58EE0073">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6.磋商文件的澄清</w:t>
      </w:r>
    </w:p>
    <w:p w14:paraId="36AB8BAE">
      <w:pPr>
        <w:spacing w:line="420" w:lineRule="exact"/>
        <w:ind w:firstLine="480"/>
        <w:rPr>
          <w:rFonts w:hint="eastAsia" w:ascii="宋体" w:hAnsi="宋体" w:eastAsia="宋体" w:cs="宋体"/>
          <w:bCs/>
          <w:sz w:val="24"/>
          <w:szCs w:val="24"/>
          <w:highlight w:val="none"/>
        </w:rPr>
      </w:pPr>
      <w:r>
        <w:rPr>
          <w:rFonts w:hint="eastAsia" w:ascii="宋体" w:hAnsi="宋体" w:eastAsia="宋体" w:cs="宋体"/>
          <w:sz w:val="24"/>
          <w:szCs w:val="24"/>
          <w:highlight w:val="none"/>
        </w:rPr>
        <w:t>6.1任何对磋商文件要求进行澄清的磋商供应商，均应在磋商时间五日前以书面或电子件形式通知采购人或代理机构（在递送书面文件的同时请磋商供应商将电子件一并发送给采购人或代理机构）。采购人或代理机构对磋商时间前五日收到的任何澄清要求将以书面或电子件形式予以答复。由于磋商供应商所留联系方式有问题而导致采购人或代理机构无法通知的其责任由磋商供应商自行承担（逾期递交对磋商文件要求进行澄清的采购人或代理机构将不予受理）。</w:t>
      </w:r>
    </w:p>
    <w:p w14:paraId="6A749970">
      <w:pPr>
        <w:spacing w:line="420" w:lineRule="exact"/>
        <w:ind w:firstLine="460"/>
        <w:rPr>
          <w:rFonts w:hint="eastAsia" w:ascii="宋体" w:hAnsi="宋体" w:eastAsia="宋体" w:cs="宋体"/>
          <w:sz w:val="24"/>
          <w:szCs w:val="24"/>
          <w:highlight w:val="none"/>
        </w:rPr>
      </w:pPr>
      <w:r>
        <w:rPr>
          <w:rFonts w:hint="eastAsia" w:ascii="宋体" w:hAnsi="宋体" w:eastAsia="宋体" w:cs="宋体"/>
          <w:bCs/>
          <w:sz w:val="24"/>
          <w:szCs w:val="24"/>
          <w:highlight w:val="none"/>
        </w:rPr>
        <w:t>7.磋商文件的更正或补充</w:t>
      </w:r>
    </w:p>
    <w:p w14:paraId="0DECA59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7.1在磋商时间前，采购中心可主动或在解答供应商提出的澄清问题时对磋商文件用更正公告的方式进行修正。</w:t>
      </w:r>
    </w:p>
    <w:p w14:paraId="5AD99DC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7.2 对磋商文件的更正将在江苏省政府采购网或淮安市政府采购网进行公告。更正公告将作为磋商文件的组成部分，对所有参加本次磋商的磋商供应商都具有约束力。</w:t>
      </w:r>
    </w:p>
    <w:p w14:paraId="57BD5631">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7.3为使供应商有足够的时间按磋商文件的更正要求修正响应文件，采购中心有权按照相关法定的要求推迟响应文件接收截止时间和磋商时间。</w:t>
      </w:r>
    </w:p>
    <w:p w14:paraId="4134BBC5">
      <w:pPr>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三、响应文件的编制</w:t>
      </w:r>
    </w:p>
    <w:p w14:paraId="7ABDD149">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8.响应文件的编制</w:t>
      </w:r>
    </w:p>
    <w:p w14:paraId="511F2B2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8.1供应商编写的响应文件应按磋商文件第六章“响应文件”中的要求进行编写。</w:t>
      </w:r>
    </w:p>
    <w:p w14:paraId="4AEE398D">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8.2电子响应文件编制必须按“苏采云政府采购一体化平台”要求制作，具体操作详见《操作手册》。</w:t>
      </w:r>
    </w:p>
    <w:p w14:paraId="78EB4A10">
      <w:pPr>
        <w:spacing w:line="42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9.磋商报价</w:t>
      </w:r>
    </w:p>
    <w:p w14:paraId="3BAECBED">
      <w:pPr>
        <w:spacing w:line="520" w:lineRule="exact"/>
        <w:ind w:firstLine="480"/>
        <w:rPr>
          <w:rFonts w:hint="eastAsia" w:ascii="宋体" w:hAnsi="宋体" w:eastAsia="宋体" w:cs="宋体"/>
          <w:b/>
          <w:bCs/>
          <w:sz w:val="24"/>
          <w:szCs w:val="24"/>
          <w:highlight w:val="none"/>
        </w:rPr>
      </w:pPr>
      <w:r>
        <w:rPr>
          <w:rFonts w:hint="eastAsia" w:ascii="宋体" w:hAnsi="宋体" w:eastAsia="宋体" w:cs="宋体"/>
          <w:sz w:val="24"/>
          <w:szCs w:val="24"/>
          <w:highlight w:val="none"/>
        </w:rPr>
        <w:t>9.1本项目采用总承包方式，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应包含完成本合同所需的服务、设备、劳务、管理、税金、材料、维护、利润、人员培训发生的所有含税费用、支付给员工的工资和国家强制缴纳的各种社会保障资金，以及与本项目有关的所有费用。中标后，采购人不再支付除中标人报价之外任何其他费用。</w:t>
      </w:r>
    </w:p>
    <w:p w14:paraId="14D6EDF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9.2 供应商的任何错漏、优惠、竞争性报价不得作为减轻责任、减少服务、增加收费、降低质量的理由。</w:t>
      </w:r>
    </w:p>
    <w:p w14:paraId="60A1FA9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9.3采购中心不接受备选的方案或有选择的报价。</w:t>
      </w:r>
    </w:p>
    <w:p w14:paraId="5D5D65FB">
      <w:pPr>
        <w:spacing w:line="420" w:lineRule="exact"/>
        <w:ind w:firstLine="484"/>
        <w:rPr>
          <w:rFonts w:hint="eastAsia" w:ascii="宋体" w:hAnsi="宋体" w:eastAsia="宋体" w:cs="宋体"/>
          <w:sz w:val="24"/>
          <w:szCs w:val="24"/>
          <w:highlight w:val="none"/>
        </w:rPr>
      </w:pPr>
      <w:r>
        <w:rPr>
          <w:rFonts w:hint="eastAsia" w:ascii="宋体" w:hAnsi="宋体" w:eastAsia="宋体" w:cs="宋体"/>
          <w:sz w:val="24"/>
          <w:szCs w:val="24"/>
          <w:highlight w:val="none"/>
        </w:rPr>
        <w:t>9.4磋商报价应以人民币为货币单位。</w:t>
      </w:r>
    </w:p>
    <w:p w14:paraId="4EABAB7F">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10.技术要求响应偏离</w:t>
      </w:r>
    </w:p>
    <w:p w14:paraId="66E7F534">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10.1供应商应对磋商文件中的技术要求逐项作出响应或偏离，否则将被拒绝。</w:t>
      </w:r>
    </w:p>
    <w:p w14:paraId="12181C94">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11.服务承诺</w:t>
      </w:r>
    </w:p>
    <w:p w14:paraId="6249F51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11.1供应商的服务承诺不能低于磋商文件中对于服务的要求。</w:t>
      </w:r>
    </w:p>
    <w:p w14:paraId="77BC9502">
      <w:pPr>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12.磋商保证金</w:t>
      </w:r>
    </w:p>
    <w:p w14:paraId="1F9F91DB">
      <w:pPr>
        <w:spacing w:line="420" w:lineRule="exact"/>
        <w:ind w:firstLine="482"/>
        <w:rPr>
          <w:rFonts w:hint="eastAsia" w:ascii="宋体" w:hAnsi="宋体" w:eastAsia="宋体" w:cs="宋体"/>
          <w:bCs/>
          <w:sz w:val="24"/>
          <w:szCs w:val="24"/>
          <w:highlight w:val="none"/>
        </w:rPr>
      </w:pPr>
      <w:r>
        <w:rPr>
          <w:rFonts w:hint="eastAsia" w:ascii="宋体" w:hAnsi="宋体" w:eastAsia="宋体" w:cs="宋体"/>
          <w:b/>
          <w:sz w:val="24"/>
          <w:szCs w:val="24"/>
          <w:highlight w:val="none"/>
        </w:rPr>
        <w:t>本项目不收取投标保证金。</w:t>
      </w:r>
    </w:p>
    <w:p w14:paraId="4A0CF1DE">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13.磋商有效期</w:t>
      </w:r>
    </w:p>
    <w:p w14:paraId="48977F0C">
      <w:pPr>
        <w:spacing w:line="420" w:lineRule="exact"/>
        <w:ind w:firstLine="540"/>
        <w:rPr>
          <w:rFonts w:hint="eastAsia" w:ascii="宋体" w:hAnsi="宋体" w:eastAsia="宋体" w:cs="宋体"/>
          <w:b/>
          <w:bCs/>
          <w:sz w:val="24"/>
          <w:szCs w:val="24"/>
          <w:highlight w:val="none"/>
        </w:rPr>
      </w:pPr>
      <w:r>
        <w:rPr>
          <w:rFonts w:hint="eastAsia" w:ascii="宋体" w:hAnsi="宋体" w:eastAsia="宋体" w:cs="宋体"/>
          <w:sz w:val="24"/>
          <w:szCs w:val="24"/>
          <w:highlight w:val="none"/>
        </w:rPr>
        <w:t>13.1磋商有效期为从磋商之日起计算的</w:t>
      </w:r>
      <w:r>
        <w:rPr>
          <w:rFonts w:hint="eastAsia" w:ascii="宋体" w:hAnsi="宋体" w:eastAsia="宋体" w:cs="宋体"/>
          <w:bCs/>
          <w:sz w:val="24"/>
          <w:szCs w:val="24"/>
          <w:highlight w:val="none"/>
        </w:rPr>
        <w:t>九十天</w:t>
      </w:r>
      <w:r>
        <w:rPr>
          <w:rFonts w:hint="eastAsia" w:ascii="宋体" w:hAnsi="宋体" w:eastAsia="宋体" w:cs="宋体"/>
          <w:sz w:val="24"/>
          <w:szCs w:val="24"/>
          <w:highlight w:val="none"/>
        </w:rPr>
        <w:t>。磋商有效期比规定短的将被视为非响应磋商而予以拒绝。</w:t>
      </w:r>
    </w:p>
    <w:p w14:paraId="28A8A7A5">
      <w:pPr>
        <w:spacing w:line="420" w:lineRule="exact"/>
        <w:ind w:firstLine="540"/>
        <w:rPr>
          <w:rFonts w:hint="eastAsia" w:ascii="宋体" w:hAnsi="宋体" w:eastAsia="宋体" w:cs="宋体"/>
          <w:sz w:val="24"/>
          <w:szCs w:val="24"/>
          <w:highlight w:val="none"/>
        </w:rPr>
      </w:pPr>
      <w:r>
        <w:rPr>
          <w:rFonts w:hint="eastAsia" w:ascii="宋体" w:hAnsi="宋体" w:eastAsia="宋体" w:cs="宋体"/>
          <w:bCs/>
          <w:sz w:val="24"/>
          <w:szCs w:val="24"/>
          <w:highlight w:val="none"/>
        </w:rPr>
        <w:t>13.2</w:t>
      </w:r>
      <w:r>
        <w:rPr>
          <w:rFonts w:hint="eastAsia" w:ascii="宋体" w:hAnsi="宋体" w:eastAsia="宋体" w:cs="宋体"/>
          <w:sz w:val="24"/>
          <w:szCs w:val="24"/>
          <w:highlight w:val="none"/>
        </w:rPr>
        <w:t>在特殊情况下，采购中心于原磋商有效期满之前，可向供应商提出延长磋商有效期的要求，这种要求与答复均应采用书面形式。供应商可以拒绝这一要求而放弃磋商。同意延长的供应商既不能要求也不允许修改其响应文件，受磋商有效期约束的所有权利与义务均延长至新的有效期。</w:t>
      </w:r>
    </w:p>
    <w:p w14:paraId="1BA3F9C2">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14.响应文件的签署</w:t>
      </w:r>
    </w:p>
    <w:p w14:paraId="5EB751D0">
      <w:pPr>
        <w:spacing w:line="42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14.1响应文件仅需要在供应商进行签章的位置应进行电子签章。电子响应文件不得涂改、行间插字或删除，如果出现上述情况应重新编制。</w:t>
      </w:r>
    </w:p>
    <w:p w14:paraId="45F9D5AC">
      <w:pPr>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四、响应文件上传</w:t>
      </w:r>
    </w:p>
    <w:p w14:paraId="720BD5FA">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15.响应文件的上传</w:t>
      </w:r>
    </w:p>
    <w:p w14:paraId="778102F4">
      <w:pPr>
        <w:spacing w:line="42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15.1供应商应当按照《操作手册》的规定，在磋商响应文件接收截止时间前制作并上传电子响应文件。</w:t>
      </w:r>
    </w:p>
    <w:p w14:paraId="7680E0DB">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w:t>
      </w:r>
      <w:r>
        <w:rPr>
          <w:rFonts w:hint="eastAsia" w:ascii="宋体" w:hAnsi="宋体" w:eastAsia="宋体" w:cs="宋体"/>
          <w:sz w:val="24"/>
          <w:szCs w:val="24"/>
          <w:highlight w:val="none"/>
        </w:rPr>
        <w:t>供应商</w:t>
      </w:r>
      <w:r>
        <w:rPr>
          <w:rFonts w:hint="eastAsia" w:ascii="宋体" w:hAnsi="宋体" w:eastAsia="宋体" w:cs="宋体"/>
          <w:bCs/>
          <w:sz w:val="24"/>
          <w:szCs w:val="24"/>
          <w:highlight w:val="none"/>
        </w:rPr>
        <w:t>上传的电子响应文件内容不清楚或不清晰的（含扫描件），造成无法评审或部分影响评审的，责任由供应商自负。</w:t>
      </w:r>
    </w:p>
    <w:p w14:paraId="4C3790D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15.3供应商上传电子响应文件的时间不得迟于磋商邀请中规定的截止时间。</w:t>
      </w:r>
    </w:p>
    <w:p w14:paraId="1B88E5D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15.4采购中心可以按第7条规定，通过修改磋商文件有权酌情延长响应文件接收截止时间。在此情况下，供应商的所有权利和义务以及供应商受制约的截止日期均应以延长后新的截止日期为准。</w:t>
      </w:r>
    </w:p>
    <w:p w14:paraId="1F7C0CA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15.5成交供应商在成交通知书发出之前，必须提供三份与电子响应文件一致的纸质打印响应文件。</w:t>
      </w:r>
    </w:p>
    <w:p w14:paraId="4A62C4D6">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16.响应文件被拒绝接收的情形</w:t>
      </w:r>
    </w:p>
    <w:p w14:paraId="0575F7F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16.1在磋商文件规定的提交响应文件截止时间后上传的电子响应文件。</w:t>
      </w:r>
    </w:p>
    <w:p w14:paraId="35E40D13">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17.响应文件的修改和撤回</w:t>
      </w:r>
    </w:p>
    <w:p w14:paraId="60C6930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17.1供应商在上传电子响应文件后可以对其修改或撤回，但这种修改和撤回，必须在规定的磋商时间之前。</w:t>
      </w:r>
    </w:p>
    <w:p w14:paraId="5483746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17.2对于电子响应文件的修改，供应商可在磋商时间前登录电子交易平台撤回电子响应文件，并上传新的电子响应文件。电子响应文件以最终完成上传的为准。</w:t>
      </w:r>
    </w:p>
    <w:p w14:paraId="1E100AAC">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17.3供应商不得在磋商时间以后修改电子响应文件。</w:t>
      </w:r>
    </w:p>
    <w:p w14:paraId="2466195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17.4供应商不得在提交电子响应文件截止时间起至磋商有效期满前撤回电子响应文件。</w:t>
      </w:r>
    </w:p>
    <w:p w14:paraId="115ED72A">
      <w:pPr>
        <w:spacing w:line="42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五、磋商</w:t>
      </w:r>
    </w:p>
    <w:p w14:paraId="401F99E8">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18.磋商组织</w:t>
      </w:r>
    </w:p>
    <w:p w14:paraId="2E70302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18.1本项目采用“全流程电子化交易”模式，通过“苏采云政府采购一体化平台”及相应的配套硬件设备（摄像头、话筒、麦克风等）完成远程解密、公布报价、澄清等交互环节。采购人或代理机构将按照18.3的要求组织本项目的“不见面交易”活动。供应商仅需在任意地点登录“苏采云”系统，进入江苏省政府采购一体化不见面开标（采购）大厅观看项目的活动组织。</w:t>
      </w:r>
    </w:p>
    <w:p w14:paraId="2FAC0D6A">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18.2 不见面磋商程序：主持人按下列程序组织磋商。</w:t>
      </w:r>
    </w:p>
    <w:p w14:paraId="1AB552F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公布磋商的会议纪律；</w:t>
      </w:r>
    </w:p>
    <w:p w14:paraId="122FCBB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公布供应商名单；</w:t>
      </w:r>
    </w:p>
    <w:p w14:paraId="33115EB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供应商在线承诺；</w:t>
      </w:r>
    </w:p>
    <w:p w14:paraId="7961BD9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供应商、采购人对电子响应文件解密；</w:t>
      </w:r>
    </w:p>
    <w:p w14:paraId="6DDA6CC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导入电子响应文件；</w:t>
      </w:r>
    </w:p>
    <w:p w14:paraId="3DB4370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网上公布磋商顺序；</w:t>
      </w:r>
    </w:p>
    <w:p w14:paraId="2A0ECA3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磋商小组与单一供应商磋商；</w:t>
      </w:r>
    </w:p>
    <w:p w14:paraId="41BE2E24">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磋商小组综合评审；</w:t>
      </w:r>
    </w:p>
    <w:p w14:paraId="1BD42A5D">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供应商进行两次或两次以上磋商报价；</w:t>
      </w:r>
    </w:p>
    <w:p w14:paraId="7F04495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网上公布最终报价；</w:t>
      </w:r>
    </w:p>
    <w:p w14:paraId="2956F79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网上公布成交候选供应商名单；</w:t>
      </w:r>
    </w:p>
    <w:p w14:paraId="21EE55C7">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磋商活动结束。</w:t>
      </w:r>
    </w:p>
    <w:p w14:paraId="2124DEA9">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18.2.1 代理机构将在采购公告中规定的时间和地点组织磋商开始仪式。供应商应当按照《操作手册》规定，参加磋商活动。</w:t>
      </w:r>
    </w:p>
    <w:p w14:paraId="61D3F42F">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18.2.2供应商在磋商过程中涉及的响应文件解密等工作，应按照《操作手册》规定执行。</w:t>
      </w:r>
    </w:p>
    <w:p w14:paraId="24F15945">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18.2.3报价一览表内容与报价明细表内容不一致的，一律以报价一览表内容为准。</w:t>
      </w:r>
    </w:p>
    <w:p w14:paraId="7C51AF28">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18.2.4响应文件提交截止时间结束后参加征集的供应商不足三家情况的，除采购任务取消情形外，按财政部令第74号第二十七条条款进行处理。</w:t>
      </w:r>
    </w:p>
    <w:p w14:paraId="5B797A7F">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18.3全流程电子化交易采购说明</w:t>
      </w:r>
    </w:p>
    <w:p w14:paraId="7F3A720A">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18.3.1由于</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自身原因导致项目不能正常进行的，项目作废标处理。</w:t>
      </w:r>
    </w:p>
    <w:p w14:paraId="76BED597">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18.3.2本项目中的时间均以国家授时中心发布的时间为准。</w:t>
      </w:r>
    </w:p>
    <w:p w14:paraId="3219C204">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18.3.3本项目下载磋商文件、上传响应文件均通过互联网操作，请供应商充分考虑网络拥堵及平台操作所需时间等因素。因供应商自身原因导致操作失败的，其责任自负。</w:t>
      </w:r>
    </w:p>
    <w:p w14:paraId="29651D3C">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18.3.4本项目响应文件的编制使用</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客户端，供应商响应文件的编制和上传，应按照磋商文件的规定进行。如未按磋商文件要求编制、上传电子响应文件，将可能作无效响应文件处理，其后果由供应商自负。供应商如对正确使用</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客户端有疑问的，请与软件公司技术人员联系。</w:t>
      </w:r>
    </w:p>
    <w:p w14:paraId="675B653C">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18.3.5“全流程电子化交易”活动当日，供应商不必抵达现场，仅需在任意地点登录</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，进入江苏省政府采购一体化不见面（采购）大厅观看项目的活动组织。为保障供应商权益以及避免围标串标的情况，供应商必须插CA锁登录</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。具体操作详见《操作手册》。</w:t>
      </w:r>
    </w:p>
    <w:p w14:paraId="7FE2990A">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18.3.6电子响应文件开启时间前，各供应商的授权委托人或法人代表提前进入江苏省政府采购一体化不见面（采购）大厅，根据操作手册验证CA与签章是否正常，以免影响响应文件的解密。 </w:t>
      </w:r>
    </w:p>
    <w:p w14:paraId="26032ECD">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18.3.7电子响应文件开启后，代理机构将在江苏省政府采购一体化不见面（采购）大厅内公布供应商名单，然后通过大厅操作区发出响应文件解密的指令，供应商在各自地点按规定时间自行实施远程解密，供应商解密限定在主持人发布解密指令后30分钟内完成。因供应商网络与电源不稳定、未按《操作手册》要求配置软硬件、解密CA锁发生故障或用错、故意不在要求时限内完成解密等自身原因，导致响应文件在规定时间内未能解密、解密失败或解密超时，作无效响应文件处理。因</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发生故障，导致无法按时完成响应文件解密，可根据实际情况相应延迟解密时间。本项目在限定的解密时间内，只要有任一家</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解密成功，即视为</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运行无故障。</w:t>
      </w:r>
    </w:p>
    <w:p w14:paraId="26C2D179">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14:paraId="0C305D3C">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18.3.9为顺利实现本项目交易活动组织的远程交互，建议供应商配置相关软硬件设施，具体包括：</w:t>
      </w:r>
    </w:p>
    <w:p w14:paraId="783F472C">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18.3.9.1软件设施：谷歌浏览器或360安全浏览器，同时必须安装</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 xml:space="preserve">客户端所要求的驱动。 </w:t>
      </w:r>
    </w:p>
    <w:p w14:paraId="74E68B31">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18.3.9.2硬件设施：高配置电脑（内存4G以上，建议屏幕分辨率用1024*768像素或以上，不要使用上网本）、高速稳定的网络、CA锁、音视频设备［话筒、耳麦、高清摄像头（支持分辨率720P及以上）、音响］等。</w:t>
      </w:r>
    </w:p>
    <w:p w14:paraId="2AEF9760">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18.3.9.3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w:t>
      </w:r>
    </w:p>
    <w:p w14:paraId="7BBC526D">
      <w:pPr>
        <w:pStyle w:val="17"/>
        <w:spacing w:before="0" w:after="0" w:line="420" w:lineRule="exact"/>
        <w:ind w:firstLine="48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18.3.10供应商在制作上传电子响应文件、观看活动组织、响应文件解密等技术方面遇到问题时，请与软件公司技术人员咨询，联系电话：0517-83638013。</w:t>
      </w:r>
    </w:p>
    <w:p w14:paraId="54470E37">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18.4磋商工作由代理机构负责组织，具体磋商事务由依法组建的磋商小组负责。</w:t>
      </w:r>
    </w:p>
    <w:p w14:paraId="0A86BA0A">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18.4.1磋商小组由采购人代表和评审专家共3人以上单数组成。</w:t>
      </w:r>
    </w:p>
    <w:p w14:paraId="12711EF1">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18.4.2磋商小组应以科学、公正的态度参加评审工作并推荐成交候选人。磋商小组在评审过程中不受任何干扰，独立、负责地提出评审意见，并对自己的评审意见承担责任。</w:t>
      </w:r>
    </w:p>
    <w:p w14:paraId="54AD4707">
      <w:pPr>
        <w:spacing w:line="420" w:lineRule="exact"/>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18.4.3磋商小组应对供应商的商业、技术秘密予以保密。</w:t>
      </w:r>
    </w:p>
    <w:p w14:paraId="72F5D8EC">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19.磋商程序</w:t>
      </w:r>
    </w:p>
    <w:p w14:paraId="0D5B667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19.1响应文件的资格审查</w:t>
      </w:r>
    </w:p>
    <w:p w14:paraId="5531B54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19.1.1磋商小组依法对供应商的资格进行审查。</w:t>
      </w:r>
    </w:p>
    <w:p w14:paraId="45D7646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19.1.1.1资格性审查：依据法律法规和磋商文件的规定，对响应文件中的资格证明文件进行审查，以确定供应商是否具备磋商资格。</w:t>
      </w:r>
    </w:p>
    <w:p w14:paraId="2B08E11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19.1.1.2 在进行资格性审查的同时，将在“信用中国”网站、“中国政府采购网”对供应商是否被列入失信被执行人、重大税收违法案件当事人名单、政府采购严重违法失信行为记录名单的情况进行查询，以确定供应商是否具备磋商资格。查询结果将以网页打印的形式留存并归档。</w:t>
      </w:r>
    </w:p>
    <w:p w14:paraId="477D9F4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19.1.1.3 响应文件有下列情况之一的，在资格性审查时按照无效响应文件处理：</w:t>
      </w:r>
    </w:p>
    <w:p w14:paraId="022BDE8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（1）不具备磋商文件中规定的资格要求的；</w:t>
      </w:r>
    </w:p>
    <w:p w14:paraId="5F01AD2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（2）供应商被“信用中国”网站、“中国政府采购网”列入失信被执行人、重大税收违法案件当事人名单、政府采购严重违法失信行为记录名单。</w:t>
      </w:r>
    </w:p>
    <w:p w14:paraId="4E4C5067">
      <w:pPr>
        <w:spacing w:line="420" w:lineRule="exact"/>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19.2响应文件的符合性审查</w:t>
      </w:r>
    </w:p>
    <w:p w14:paraId="25133FBE">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19.2.1磋商小组对响应文件的有效性、完整性和对磋商文件的响应程度进行审查，以确定是否对磋商文件的实质性要求作出响应。</w:t>
      </w:r>
    </w:p>
    <w:p w14:paraId="2F6C27E2">
      <w:pPr>
        <w:spacing w:line="420" w:lineRule="exact"/>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19.2.2实质性响应是指响应文件与磋商文件要求的全部条款、条件和要求相符，而没有重大偏离或保留。重大偏离或保留系指影响到磋商文件规定的供货期、供货范围、质量和性能；或者在实质上与磋商文件不一致，或限制了甲方的权</w:t>
      </w:r>
      <w:r>
        <w:rPr>
          <w:rFonts w:hint="eastAsia" w:ascii="宋体" w:hAnsi="宋体" w:cs="宋体"/>
          <w:sz w:val="24"/>
          <w:szCs w:val="24"/>
          <w:highlight w:val="none"/>
          <w:lang w:eastAsia="zh-CN"/>
        </w:rPr>
        <w:t>利</w:t>
      </w:r>
      <w:r>
        <w:rPr>
          <w:rFonts w:hint="eastAsia" w:ascii="宋体" w:hAnsi="宋体" w:eastAsia="宋体" w:cs="宋体"/>
          <w:sz w:val="24"/>
          <w:szCs w:val="24"/>
          <w:highlight w:val="none"/>
        </w:rPr>
        <w:t>和供应商的义务，而纠正这些偏离将会对其他提交了实质性响应文件的供应商的竞争地位产生不公正的影响。重大负偏离的认定必须经磋商小组三分之二以上（含）成员同意。磋商小组判断响应文件的响应性只根据响应文件本身的内容，而不寻求外部的证据。</w:t>
      </w:r>
    </w:p>
    <w:p w14:paraId="0CE4012B">
      <w:pPr>
        <w:spacing w:line="420" w:lineRule="exact"/>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19.2.3如果响应文件没有实质上响应磋商文件的要求，磋商小组将予以拒绝。</w:t>
      </w:r>
    </w:p>
    <w:p w14:paraId="456C8E06">
      <w:pPr>
        <w:spacing w:line="42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19.2.4磋商小组</w:t>
      </w:r>
      <w:r>
        <w:rPr>
          <w:rFonts w:hint="eastAsia" w:ascii="宋体" w:hAnsi="宋体" w:eastAsia="宋体" w:cs="宋体"/>
          <w:bCs/>
          <w:sz w:val="24"/>
          <w:szCs w:val="24"/>
          <w:highlight w:val="none"/>
        </w:rPr>
        <w:t>将对确定为实质性响应的响应文件进行进一步</w:t>
      </w:r>
      <w:r>
        <w:rPr>
          <w:rFonts w:hint="eastAsia" w:ascii="宋体" w:hAnsi="宋体" w:eastAsia="宋体" w:cs="宋体"/>
          <w:sz w:val="24"/>
          <w:szCs w:val="24"/>
          <w:highlight w:val="none"/>
        </w:rPr>
        <w:t>初审，</w:t>
      </w:r>
      <w:r>
        <w:rPr>
          <w:rFonts w:hint="eastAsia" w:ascii="宋体" w:hAnsi="宋体" w:eastAsia="宋体" w:cs="宋体"/>
          <w:bCs/>
          <w:sz w:val="24"/>
          <w:szCs w:val="24"/>
          <w:highlight w:val="none"/>
        </w:rPr>
        <w:t>看其是否有计算上或累加上的算术错误，</w:t>
      </w:r>
      <w:r>
        <w:rPr>
          <w:rFonts w:hint="eastAsia" w:ascii="宋体" w:hAnsi="宋体" w:eastAsia="宋体" w:cs="宋体"/>
          <w:sz w:val="24"/>
          <w:szCs w:val="24"/>
          <w:highlight w:val="none"/>
        </w:rPr>
        <w:t>修正原则如下：</w:t>
      </w:r>
    </w:p>
    <w:p w14:paraId="5259433C">
      <w:pPr>
        <w:spacing w:line="420" w:lineRule="exact"/>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（1）大写金额和小写金额不一致的，以大写金额为准.</w:t>
      </w:r>
    </w:p>
    <w:p w14:paraId="115DEC0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（2）总价金额与按单价汇总金额不一致的，以单价金额计算结果为准。</w:t>
      </w:r>
    </w:p>
    <w:p w14:paraId="374773A4">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（3）单价金额小数点有明显错位的，以总价为准并修改单价。</w:t>
      </w:r>
    </w:p>
    <w:p w14:paraId="2FA55985">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同时出现两种以上错误的，按照前款规定的顺序修正。</w:t>
      </w:r>
    </w:p>
    <w:p w14:paraId="258C91DB">
      <w:pPr>
        <w:spacing w:line="42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磋商小组将按上述修正错误的方法调整响应文件中的磋商报价，调整后的价格应对供应商具有约束力。如果供应商不同意修正的，其响应文件无效。</w:t>
      </w:r>
    </w:p>
    <w:p w14:paraId="03F7820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19.3</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小组通过开标大厅与单一供应商以视频方式分别进行磋商，并给予所有参加</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的供应商平等的</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机会。</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可以是多轮次进行。</w:t>
      </w:r>
    </w:p>
    <w:p w14:paraId="29E45DF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19.3.1在视频单一</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时，</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小组首先会核实授权委托人或法定代表人的身份信息，如身份信息不符视同供应商放弃磋商的权利。</w:t>
      </w:r>
    </w:p>
    <w:p w14:paraId="144A57BD">
      <w:pPr>
        <w:spacing w:line="420" w:lineRule="exact"/>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rPr>
        <w:t>19.3.2</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小组发起</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邀请后供应商未及时响应，</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小组继续和下一家供应商进行</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，未及时响应</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邀请的供应商在</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小组与其他所有供应商单一磋商结束前可以主动发起</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申请，</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小组在收到</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申请后将和供应商进行单一</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，未及时响应</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邀请的供应商未能在</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小组与其他所有供应商单一</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结束前发起</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申请的将视同供应商放弃</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的权利。</w:t>
      </w:r>
    </w:p>
    <w:p w14:paraId="697A0ACC">
      <w:pPr>
        <w:spacing w:line="42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19.4</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过程中，</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小组根据</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文件和</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情况可能实质性变动采购需求中的技术、服务要求以及合同草案条款。实质性变动是</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文件的有效组成部分，</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小组将以电子文件形式通知所有参加</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的供应商，所有参加</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的供应商必须电子签章确认（在规定时间内未进行确认的，视同其默认）。</w:t>
      </w:r>
    </w:p>
    <w:p w14:paraId="4B49AB83">
      <w:pPr>
        <w:spacing w:line="42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19.5</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中，</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的任何一方不得透露与</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有关的其他参加供应商的技术资料、价格和其他信息。如果参加供应商试图向采购中心和</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小组人员施加任何影响，都将会导致其</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被拒绝。</w:t>
      </w:r>
    </w:p>
    <w:p w14:paraId="677A8EA7">
      <w:pPr>
        <w:spacing w:line="420" w:lineRule="exact"/>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19.6响应文件的澄清</w:t>
      </w:r>
    </w:p>
    <w:p w14:paraId="1845A6AA">
      <w:pPr>
        <w:spacing w:line="420" w:lineRule="exact"/>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19.6.1在</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期间，为有助于对响应文件的审查、评价和比较，</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小组有权通过开标大厅进行视频交流并要求供应商对其响应文件中含义不明确、同类问题表述不一致或者有明显文字和计算错误的内容进行澄清</w:t>
      </w:r>
      <w:r>
        <w:rPr>
          <w:rFonts w:hint="eastAsia" w:ascii="宋体" w:hAnsi="宋体" w:eastAsia="宋体" w:cs="宋体"/>
          <w:b/>
          <w:sz w:val="24"/>
          <w:szCs w:val="24"/>
          <w:highlight w:val="none"/>
        </w:rPr>
        <w:t>（在视频交流时，</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小组首先会核实授权委托人或法定代表人的身份信息，如身份信息不符或者供应商在</w:t>
      </w:r>
      <w:r>
        <w:rPr>
          <w:rFonts w:hint="eastAsia" w:ascii="宋体" w:hAnsi="宋体" w:eastAsia="宋体" w:cs="宋体"/>
          <w:b/>
          <w:bCs/>
          <w:sz w:val="24"/>
          <w:szCs w:val="24"/>
          <w:highlight w:val="none"/>
        </w:rPr>
        <w:t>磋商</w:t>
      </w:r>
      <w:r>
        <w:rPr>
          <w:rFonts w:hint="eastAsia" w:ascii="宋体" w:hAnsi="宋体" w:eastAsia="宋体" w:cs="宋体"/>
          <w:b/>
          <w:sz w:val="24"/>
          <w:szCs w:val="24"/>
          <w:highlight w:val="none"/>
        </w:rPr>
        <w:t>小组发起澄清邀请后未能及时响应的，则视同供应商放弃澄清、说明或者补正的权利）</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供应商的澄清要通过</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向磋商小组进行澄清回复，同时必须将澄清内容形成电子文件加盖电子签章通过</w:t>
      </w:r>
      <w:r>
        <w:rPr>
          <w:rFonts w:hint="eastAsia" w:ascii="宋体" w:hAnsi="宋体" w:eastAsia="宋体" w:cs="宋体"/>
          <w:sz w:val="24"/>
          <w:szCs w:val="24"/>
          <w:highlight w:val="none"/>
        </w:rPr>
        <w:t>“苏采云政府采购一体化平台”</w:t>
      </w:r>
      <w:r>
        <w:rPr>
          <w:rFonts w:hint="eastAsia" w:ascii="宋体" w:hAnsi="宋体" w:eastAsia="宋体" w:cs="宋体"/>
          <w:bCs/>
          <w:sz w:val="24"/>
          <w:szCs w:val="24"/>
          <w:highlight w:val="none"/>
        </w:rPr>
        <w:t>上传。</w:t>
      </w:r>
    </w:p>
    <w:p w14:paraId="2E972003">
      <w:pPr>
        <w:spacing w:line="420" w:lineRule="exact"/>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19.6.2接到</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小组澄清要求的供应商如未按第19.6.1的规定作出澄清的，将视为放弃该澄清权利。</w:t>
      </w:r>
    </w:p>
    <w:p w14:paraId="41AAE87E">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19.7</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结束后，</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小组将要求所有继续参加</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的供应商凭CA锁登录苏彩云平台在规定的时间内进行两次或两次以上的</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报价（最终报价将作为评审的依据）。</w:t>
      </w:r>
    </w:p>
    <w:p w14:paraId="16B6ED3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19.7.1如果供应商未在规定时间内进行报价或因其自身网络问题无法及时提交报价的，系统将默认其报价为电子响应文件提交的初始报价。</w:t>
      </w:r>
    </w:p>
    <w:p w14:paraId="04BEF95E">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20.出现下列情形之一的，响应文件按照无效处理:</w:t>
      </w:r>
    </w:p>
    <w:p w14:paraId="41A88F32">
      <w:pPr>
        <w:widowControl/>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（1）未按照</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文件规定要求进行电子签字、电子签章的；</w:t>
      </w:r>
    </w:p>
    <w:p w14:paraId="1CE70D8C">
      <w:pPr>
        <w:widowControl/>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（2）已上传电子响应文件但因供应商原因未在规定时间前进行系统签到的；</w:t>
      </w:r>
    </w:p>
    <w:p w14:paraId="41CD56A5">
      <w:pPr>
        <w:widowControl/>
        <w:spacing w:line="420" w:lineRule="exact"/>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因供应商网络与电源不稳定、未按操作手册要求配置软硬件、解密锁发生故障或用错、故意不在要求时限内完成解密等自身原因，导致响应文件在规定时间内未能解密、解密失败或解密超时的或未在规定时间内电子签章以确认其未在规定时间内成功解密响应文件的；</w:t>
      </w:r>
    </w:p>
    <w:p w14:paraId="225F7A6A">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（4）经</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，供应商仍不承诺满足</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文件要求的；</w:t>
      </w:r>
    </w:p>
    <w:p w14:paraId="37AB0A1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（5）不符合法律法规和</w:t>
      </w:r>
      <w:r>
        <w:rPr>
          <w:rFonts w:hint="eastAsia" w:ascii="宋体" w:hAnsi="宋体" w:eastAsia="宋体" w:cs="宋体"/>
          <w:bCs/>
          <w:sz w:val="24"/>
          <w:szCs w:val="24"/>
          <w:highlight w:val="none"/>
        </w:rPr>
        <w:t>磋商</w:t>
      </w:r>
      <w:r>
        <w:rPr>
          <w:rFonts w:hint="eastAsia" w:ascii="宋体" w:hAnsi="宋体" w:eastAsia="宋体" w:cs="宋体"/>
          <w:sz w:val="24"/>
          <w:szCs w:val="24"/>
          <w:highlight w:val="none"/>
        </w:rPr>
        <w:t>文件中规定的其他实质性要求的；</w:t>
      </w:r>
    </w:p>
    <w:p w14:paraId="6635C00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（6）经查实提供虚假材料谋取成交的。</w:t>
      </w:r>
    </w:p>
    <w:p w14:paraId="0D451EE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（7）供应商参加磋商时，未提供项目管理方案或经三分之二磋商小组认定方案存在重大偏差的；</w:t>
      </w:r>
    </w:p>
    <w:p w14:paraId="2FEE010E">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（8）供应商未完全满足磋商文件要求的；</w:t>
      </w:r>
    </w:p>
    <w:p w14:paraId="08077050">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21.出现下列情形之一的，磋商终止:</w:t>
      </w:r>
    </w:p>
    <w:p w14:paraId="416F702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03ACC23B">
      <w:pPr>
        <w:spacing w:line="420" w:lineRule="exact"/>
        <w:ind w:firstLine="484"/>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0DD4BBB8">
      <w:pPr>
        <w:spacing w:line="420" w:lineRule="exact"/>
        <w:ind w:firstLine="484"/>
        <w:rPr>
          <w:rFonts w:hint="eastAsia" w:ascii="宋体" w:hAnsi="宋体" w:eastAsia="宋体" w:cs="宋体"/>
          <w:sz w:val="24"/>
          <w:szCs w:val="24"/>
          <w:highlight w:val="none"/>
        </w:rPr>
      </w:pPr>
      <w:r>
        <w:rPr>
          <w:rFonts w:hint="eastAsia" w:ascii="宋体" w:hAnsi="宋体" w:eastAsia="宋体" w:cs="宋体"/>
          <w:sz w:val="24"/>
          <w:szCs w:val="24"/>
          <w:highlight w:val="none"/>
        </w:rPr>
        <w:t>（3）除《政府采购竞争性磋商采购方式管理暂行办法》财库【2014】214号文件第二十一条第三款规定的情形除外，在采购过程中符合竞争要求的供应商或者报价未超过采购预算的供应商不足3家的。</w:t>
      </w:r>
    </w:p>
    <w:p w14:paraId="61085010">
      <w:pPr>
        <w:spacing w:line="420" w:lineRule="exact"/>
        <w:ind w:firstLine="480"/>
        <w:rPr>
          <w:rFonts w:hint="eastAsia" w:ascii="宋体" w:hAnsi="宋体" w:eastAsia="宋体" w:cs="宋体"/>
          <w:bCs/>
          <w:sz w:val="24"/>
          <w:szCs w:val="24"/>
          <w:highlight w:val="none"/>
        </w:rPr>
      </w:pPr>
      <w:r>
        <w:rPr>
          <w:rFonts w:hint="eastAsia" w:ascii="宋体" w:hAnsi="宋体" w:eastAsia="宋体" w:cs="宋体"/>
          <w:sz w:val="24"/>
          <w:szCs w:val="24"/>
          <w:highlight w:val="none"/>
        </w:rPr>
        <w:t>磋商终止后，采购人应当将磋商终止的理由通知所有供应商。在特殊情况下，经采购人申请后，可以与两家或一家供应商进行磋商。</w:t>
      </w:r>
    </w:p>
    <w:p w14:paraId="54AC351D">
      <w:pPr>
        <w:spacing w:line="4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22.推荐成交候选供应商</w:t>
      </w:r>
    </w:p>
    <w:p w14:paraId="1D3B3C0F">
      <w:pPr>
        <w:spacing w:line="42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22.1磋商小组将对通过资格性审查和符合性审查的响应文件进行评价和比较。</w:t>
      </w:r>
    </w:p>
    <w:p w14:paraId="794ED21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22.2磋商小组按磋商文件第三章中公布的评标标准对每份合格响应文件进行评审，</w:t>
      </w:r>
      <w:r>
        <w:rPr>
          <w:rFonts w:hint="eastAsia" w:ascii="宋体" w:hAnsi="宋体" w:eastAsia="宋体" w:cs="宋体"/>
          <w:b/>
          <w:bCs/>
          <w:sz w:val="24"/>
          <w:szCs w:val="24"/>
          <w:highlight w:val="none"/>
        </w:rPr>
        <w:t>推荐1名成交候选供应商。</w:t>
      </w:r>
      <w:r>
        <w:rPr>
          <w:rFonts w:hint="eastAsia" w:ascii="宋体" w:hAnsi="宋体" w:eastAsia="宋体" w:cs="宋体"/>
          <w:sz w:val="24"/>
          <w:szCs w:val="24"/>
          <w:highlight w:val="none"/>
        </w:rPr>
        <w:t xml:space="preserve"> </w:t>
      </w:r>
    </w:p>
    <w:p w14:paraId="3F65CA7E">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22.3 磋商小组发现磋商文件存在歧义、重大缺陷导致评审工作无法进行，或者磋商文件内容存在违反国家有关规定的，评审工作停止，采购中心修改磋商文件后重新组织采购活动。</w:t>
      </w:r>
    </w:p>
    <w:p w14:paraId="7A269111">
      <w:pPr>
        <w:spacing w:line="420" w:lineRule="exact"/>
        <w:ind w:right="-634"/>
        <w:rPr>
          <w:rFonts w:hint="eastAsia" w:ascii="宋体" w:hAnsi="宋体" w:eastAsia="宋体" w:cs="宋体"/>
          <w:bCs/>
          <w:sz w:val="24"/>
          <w:szCs w:val="24"/>
          <w:highlight w:val="none"/>
        </w:rPr>
      </w:pPr>
      <w:r>
        <w:rPr>
          <w:rFonts w:hint="eastAsia" w:ascii="宋体" w:hAnsi="宋体" w:eastAsia="宋体" w:cs="宋体"/>
          <w:bCs/>
          <w:sz w:val="24"/>
          <w:szCs w:val="24"/>
          <w:highlight w:val="none"/>
        </w:rPr>
        <w:t>23.磋商过程保密</w:t>
      </w:r>
    </w:p>
    <w:p w14:paraId="722BBEE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23.1在宣布成交结果前，凡属于审查、澄清、磋商、评审响应文件和确定成交等相关信息，均不得泄露给任何供应商或与评审工作无关的人员。</w:t>
      </w:r>
    </w:p>
    <w:p w14:paraId="5B1C5CCE">
      <w:pPr>
        <w:spacing w:line="420" w:lineRule="exact"/>
        <w:ind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23.2供应商不得探听上述信息，不得以任何行为影响磋商过程，否则将被取消成交资格。</w:t>
      </w:r>
    </w:p>
    <w:p w14:paraId="691E823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23.3 磋商小组名单在磋商前确定，并在磋商结果确定前保密。</w:t>
      </w:r>
    </w:p>
    <w:p w14:paraId="30FDA797">
      <w:pPr>
        <w:spacing w:line="420" w:lineRule="exact"/>
        <w:ind w:right="-63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六、确定成交及签订合同</w:t>
      </w:r>
    </w:p>
    <w:p w14:paraId="5A32C6B1">
      <w:pPr>
        <w:spacing w:line="420" w:lineRule="exact"/>
        <w:ind w:right="-634"/>
        <w:rPr>
          <w:rFonts w:hint="eastAsia" w:ascii="宋体" w:hAnsi="宋体" w:eastAsia="宋体" w:cs="宋体"/>
          <w:bCs/>
          <w:sz w:val="24"/>
          <w:szCs w:val="24"/>
          <w:highlight w:val="none"/>
        </w:rPr>
      </w:pPr>
      <w:r>
        <w:rPr>
          <w:rFonts w:hint="eastAsia" w:ascii="宋体" w:hAnsi="宋体" w:eastAsia="宋体" w:cs="宋体"/>
          <w:bCs/>
          <w:sz w:val="24"/>
          <w:szCs w:val="24"/>
          <w:highlight w:val="none"/>
        </w:rPr>
        <w:t>24.确定成交供应商</w:t>
      </w:r>
    </w:p>
    <w:p w14:paraId="48CA918C">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24.1采购人将从磋商小组推荐的符合采购需求的成交候选供应商中按排名先后确定成交供应商。</w:t>
      </w:r>
    </w:p>
    <w:p w14:paraId="468B1F3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24.2采购人将在淮安市政府采购网发布成交结果公告。</w:t>
      </w:r>
    </w:p>
    <w:p w14:paraId="09F510E4">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24.3成交候选人在合同签订前，如经查实从参加该成交项目之日起计算所参加的政府采购活动前三年内，在经营活动中有行贿犯罪记录的，采购中心将取消其成交候选人资格。</w:t>
      </w:r>
    </w:p>
    <w:p w14:paraId="6F5CBB4C">
      <w:pPr>
        <w:spacing w:line="420" w:lineRule="exact"/>
        <w:ind w:right="-302"/>
        <w:rPr>
          <w:rFonts w:hint="eastAsia" w:ascii="宋体" w:hAnsi="宋体" w:eastAsia="宋体" w:cs="宋体"/>
          <w:bCs/>
          <w:sz w:val="24"/>
          <w:szCs w:val="24"/>
          <w:highlight w:val="none"/>
        </w:rPr>
      </w:pPr>
      <w:r>
        <w:rPr>
          <w:rFonts w:hint="eastAsia" w:ascii="宋体" w:hAnsi="宋体" w:eastAsia="宋体" w:cs="宋体"/>
          <w:bCs/>
          <w:sz w:val="24"/>
          <w:szCs w:val="24"/>
          <w:highlight w:val="none"/>
        </w:rPr>
        <w:t>25.成交通知书</w:t>
      </w:r>
    </w:p>
    <w:p w14:paraId="6892268C">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25.1成交结果公示结束且在无疑义情况下，采购中心将通过“采购业务管理子系统”通知成交供应商。</w:t>
      </w:r>
    </w:p>
    <w:p w14:paraId="5DF27CBC">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25.2成交通知书将是合同的一个组成部分。</w:t>
      </w:r>
    </w:p>
    <w:p w14:paraId="10C9DA39">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26.签订合同</w:t>
      </w:r>
    </w:p>
    <w:p w14:paraId="018C8A9D">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26.1采购人与成交供应商应在成交通知书发出之日起十二日内签订政府采购合同。磋商文件、成交供应商的响应文件及澄清文件等均为签订合同依据。</w:t>
      </w:r>
    </w:p>
    <w:p w14:paraId="065C99B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26.2成交供应商自成交通知书发出之日起十二日内无正当理由不与采购人签订合同并经财政局备案的，将按规定进行处理。</w:t>
      </w:r>
    </w:p>
    <w:p w14:paraId="237830C4">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27.货物和服务的减少</w:t>
      </w:r>
    </w:p>
    <w:p w14:paraId="5075F3EE">
      <w:pPr>
        <w:spacing w:line="420" w:lineRule="exact"/>
        <w:ind w:firstLine="460"/>
        <w:rPr>
          <w:rFonts w:hint="eastAsia" w:ascii="宋体" w:hAnsi="宋体" w:eastAsia="宋体" w:cs="宋体"/>
          <w:sz w:val="24"/>
          <w:szCs w:val="24"/>
          <w:highlight w:val="none"/>
        </w:rPr>
      </w:pPr>
      <w:r>
        <w:rPr>
          <w:rFonts w:hint="eastAsia" w:ascii="宋体" w:hAnsi="宋体" w:eastAsia="宋体" w:cs="宋体"/>
          <w:sz w:val="24"/>
          <w:szCs w:val="24"/>
          <w:highlight w:val="none"/>
        </w:rPr>
        <w:t>27.1采购结束后，采购人若由于各种客观原因，必须对采购项目所牵涉的货物和服务进行适当的减少时，在双方协商一致的前提下，可以按照磋商时的价格水平做相应的调减，并据此签订补充合同。</w:t>
      </w:r>
    </w:p>
    <w:p w14:paraId="2BE97552">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28.履约保证金</w:t>
      </w:r>
    </w:p>
    <w:p w14:paraId="6C287ED4">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28.1乙方交纳人民币_________元作为本合同的履约保证金。（不得超过合同金额的1%）</w:t>
      </w:r>
    </w:p>
    <w:p w14:paraId="789E070B">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28.2乙方提供的履约保证金可以是人民币形式（银行本票、汇票、支票、电汇），或银行保函、担保公司的保证担保或保险公司的保证保险</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数字人民币</w:t>
      </w:r>
      <w:r>
        <w:rPr>
          <w:rFonts w:hint="eastAsia" w:ascii="宋体" w:hAnsi="宋体" w:eastAsia="宋体" w:cs="宋体"/>
          <w:highlight w:val="none"/>
        </w:rPr>
        <w:t>等多种形式。</w:t>
      </w:r>
    </w:p>
    <w:p w14:paraId="13544B5D">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28.3乙方选取银行保函、担保公司的保证担保或保险公司的保证保险等形式的向采购人缴纳的，如保函（担保、保险等）的约定期到期但乙方履约仍未结束的，乙方须进行续保。</w:t>
      </w:r>
    </w:p>
    <w:p w14:paraId="38040379">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17B4036D">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28.5如乙方未能履行合同规定的义务，甲方有权从履约保证金中取得补偿。</w:t>
      </w:r>
    </w:p>
    <w:p w14:paraId="23EBAF2A">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4B762F61">
      <w:pPr>
        <w:pStyle w:val="11"/>
        <w:widowControl/>
        <w:shd w:val="clear" w:color="auto" w:fill="FFFFFF"/>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28.7履约保证金在合同约定期间内不予退还或者应完全有效，履约保证金在项目验收合格后退还给乙方。</w:t>
      </w:r>
    </w:p>
    <w:p w14:paraId="1C104587">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28.8如果成交供应商没有按照26条的规定去做，采购人可报财政部门取消其成交资格，在此情况下采购人可将标授予下一个成交候选供应商，或重新采购。</w:t>
      </w:r>
    </w:p>
    <w:p w14:paraId="01AB2F22">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七、质疑处理</w:t>
      </w:r>
    </w:p>
    <w:p w14:paraId="78F11D53">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29.质疑处理</w:t>
      </w:r>
    </w:p>
    <w:p w14:paraId="71C971D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29.1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认为采购文件、采购过程和中标结果使自己的权益受到损害的，可以在知道或者应知其权益受到损害之日起七个工作日内，以电子文件形式从网站首页点击“交易平台”→“政府采购－</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”登录，从“采购业务－质疑”模块质疑；同时必须将质疑函的原件邮寄至采购人或招标代理。未通过交易平台、未邮寄质疑函原件、七个工作日之外以及匿名的质疑均不予受理。 </w:t>
      </w:r>
    </w:p>
    <w:p w14:paraId="1B322D9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29.2上述应知其权益受到损害之日是指：</w:t>
      </w:r>
    </w:p>
    <w:p w14:paraId="29E74EA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（1）对招标文件提出质疑的，为采购文件公告期限届满之日起计算；</w:t>
      </w:r>
    </w:p>
    <w:p w14:paraId="0856E50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（2）对采购过程提出质疑的，为各采购程序环节结束之日起计算；</w:t>
      </w:r>
    </w:p>
    <w:p w14:paraId="6B1B46B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（3）对中标结果提出质疑的，为中标结果公告期限届满之日起计算。  </w:t>
      </w:r>
    </w:p>
    <w:p w14:paraId="232837E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29.3 质疑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是指直接参加本次投标活动的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，未参加投标活动的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或在投标活动中自身权益未受到损害的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所提出的质疑不予受理。</w:t>
      </w:r>
    </w:p>
    <w:p w14:paraId="3BFD4DAE">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29.4 质疑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在法定质疑期内应当一次性提出针对同一采购环节质疑。</w:t>
      </w:r>
    </w:p>
    <w:p w14:paraId="519BE99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29.5 质疑函必须以参加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采购人有权不予受理。</w:t>
      </w:r>
    </w:p>
    <w:p w14:paraId="76792CC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29.6 质疑函应当包括以下主要内容，附上相关证明材料。否则，采购人不予受理。</w:t>
      </w:r>
    </w:p>
    <w:p w14:paraId="43212927">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（1）质疑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的名称、地址、邮编、联系人及联系电话； </w:t>
      </w:r>
    </w:p>
    <w:p w14:paraId="661A09B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736FF20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（3）具体、明确的质疑事项和与质疑事实相关的请求；</w:t>
      </w:r>
    </w:p>
    <w:p w14:paraId="2456EA0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68FFEDA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1994F50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（6）提起质疑的日期； </w:t>
      </w:r>
    </w:p>
    <w:p w14:paraId="2BA50307">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（7）质疑函应当署名：应当由法定代表人签字并加盖单位公章。 </w:t>
      </w:r>
    </w:p>
    <w:p w14:paraId="39315BA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29.7 采购人收到质疑函后，将对质疑的形式和内容进行审查，如质疑函内容、格式不符合规定，采购人或招标代理将告知质疑人进行补正。质疑人应当在法定质疑期限内进行补正并重新提交质疑函，拒不补正或者超过法定期限后未重新提交质疑函的，为无效质疑，采购人有权不予受理。 </w:t>
      </w:r>
    </w:p>
    <w:p w14:paraId="0AF3AFE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29.8对于内容、格式符合规定的质疑函，采购人将在五个工作日内以书面形式或者电子文件形式作出答复，但质疑答复的内容不涉及商业秘密。</w:t>
      </w:r>
    </w:p>
    <w:p w14:paraId="1DA72FE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29.9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提出书面质疑必须有理、有据，不得恶意质疑或提交虚假质疑。否则，一经查实，采购人有权依据政府采购的有关规定，报请盱眙县财政局对该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列入失信行为或不良行为记录名单，进行相应的行政处罚。 </w:t>
      </w:r>
    </w:p>
    <w:p w14:paraId="3576C170">
      <w:pPr>
        <w:spacing w:line="520" w:lineRule="exac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八、政府采购政策功能落实</w:t>
      </w:r>
    </w:p>
    <w:p w14:paraId="63CA44A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30.政策功能落实</w:t>
      </w:r>
    </w:p>
    <w:p w14:paraId="5B8446E7">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30.1小微型企业价格扣除</w:t>
      </w:r>
    </w:p>
    <w:p w14:paraId="107C13C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30.1.1对于未预留份额专门面向中小企业采购的采购项目，供应商提供的货物或者服务符合下列情形的，享受本办法规定的中小企业扶持政策给予小微企业报价20%的扣除，用扣除后的价格参与评审：</w:t>
      </w:r>
    </w:p>
    <w:p w14:paraId="3B43E5E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（1）在货物采购项目中，货物由中小企业制造，即货物由中小企业生产且使用该中小企业商号或者注册商标；</w:t>
      </w:r>
    </w:p>
    <w:p w14:paraId="4C5A2183">
      <w:pPr>
        <w:spacing w:line="420" w:lineRule="exact"/>
        <w:ind w:firstLine="480"/>
        <w:rPr>
          <w:rFonts w:hint="eastAsia" w:ascii="宋体" w:hAnsi="宋体" w:eastAsia="宋体" w:cs="宋体"/>
          <w:sz w:val="28"/>
          <w:szCs w:val="28"/>
          <w:highlight w:val="none"/>
        </w:rPr>
      </w:pPr>
      <w:r>
        <w:rPr>
          <w:rFonts w:hint="eastAsia" w:ascii="宋体" w:hAnsi="宋体" w:eastAsia="宋体" w:cs="宋体"/>
          <w:sz w:val="24"/>
          <w:szCs w:val="24"/>
          <w:highlight w:val="none"/>
        </w:rPr>
        <w:t>（2）在服务采购项目中，服务由中小企业承接，即提供服务的人员为中小企业依照《中华人民共和国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》订立劳动合同的从业人员。</w:t>
      </w:r>
    </w:p>
    <w:p w14:paraId="2BDFE2B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30.1.2在货物采购项目中，供应商提供的货物既有中小企业制造货物，也有大型企业制造货物的，不享受本办法规定的中小企业扶持政策。</w:t>
      </w:r>
    </w:p>
    <w:p w14:paraId="1690AE0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30.2联合体及分包</w:t>
      </w:r>
    </w:p>
    <w:p w14:paraId="0CC7FDD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30.2.1以联合体形式参加政府采购活动，联合体各方均为中小企业的，联合体视同中小企业。其中，联合体各方均为小微企业的，联合体视同小微企业。</w:t>
      </w:r>
    </w:p>
    <w:p w14:paraId="01BFCE6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30.2.2享受扶持政策获得政府采购合同的，小微企业不得将合同分包给大中型企业，中型企业不得将合同分包给大型企业。</w:t>
      </w:r>
    </w:p>
    <w:p w14:paraId="395DBCE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390EB20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0D8FDA5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30.3小微型企业</w:t>
      </w:r>
    </w:p>
    <w:p w14:paraId="77837934">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（1）供应商须按照磋商文件的要求提供相应的《企业声明函》，详见磋商文件第六章示范格式。</w:t>
      </w:r>
    </w:p>
    <w:p w14:paraId="348ABE8C">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（2）企业标准请参照《政府采购促进中小企业发展管理办法》（财库【2020】46号）文件规定自行填写。</w:t>
      </w:r>
    </w:p>
    <w:p w14:paraId="659500F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30.4残疾人福利单位</w:t>
      </w:r>
    </w:p>
    <w:p w14:paraId="15FB5D5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（1）残疾人福利单位需按照招标文件的要求提供《残疾人福利性单位声明函》，详见招标文件第六章示范格式。</w:t>
      </w:r>
    </w:p>
    <w:p w14:paraId="7CC69B3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（2）残疾人福利单位标准请参照《关于促进残疾人就业政府采购政策的通知》（财库〔2017〕141号）。</w:t>
      </w:r>
    </w:p>
    <w:p w14:paraId="45184DB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30.5监狱和戒毒企业</w:t>
      </w:r>
    </w:p>
    <w:p w14:paraId="3297AD5E">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（1）监狱企业参加政府采购活动时，需提供由省级以上监狱管理局、戒毒管理局（含新疆生产建设兵团）出具的属于监狱企业的证明文件）（磋商文件中上传加盖出具单位公章的电子件）。</w:t>
      </w:r>
    </w:p>
    <w:p w14:paraId="65EDF3B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（2）监狱企业标准请参照《关于政府采购支持监狱企业发展有关问题的通知》（财库[2014]68号）。</w:t>
      </w:r>
    </w:p>
    <w:p w14:paraId="2AA8A7A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 节能、环保政策（本项目不涉及）</w:t>
      </w:r>
    </w:p>
    <w:p w14:paraId="5E34ACB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31.1根据《财政部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0AC65EA7">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31.2节能产品</w:t>
      </w:r>
    </w:p>
    <w:p w14:paraId="73A0CF3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本项目/被列入“节能产品品目清单”的，实行（优先采购/强制采购）。</w:t>
      </w:r>
    </w:p>
    <w:p w14:paraId="01A92FBD">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31.3环保产品</w:t>
      </w:r>
    </w:p>
    <w:p w14:paraId="6492EA0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本项目中 /被列入“环境标志产品品目清单”的，实行优先采购。</w:t>
      </w:r>
    </w:p>
    <w:p w14:paraId="5B34B8B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31.4本项目中实行“强制采购”的，需提供国家市场监督管理总局确定的列入“参与实施政府采购节能产品认证机构名录”内的认证机构出具的、有效期内的该产品环境标志产品认证证书电子件，未提供的作无效投标处理；实行“优先采购”的，在评分标准的“政策导向”处参与加分（详见第三章评标标准）。</w:t>
      </w:r>
    </w:p>
    <w:p w14:paraId="28AD6E63">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31.5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0D2BD27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32．政府绿色采购</w:t>
      </w:r>
    </w:p>
    <w:p w14:paraId="28ECDE20">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根据《江苏省财政厅关于加强政府绿色采购有关事项的通知》（苏财购〔2023〕65号）的要求，落实政府绿色采购相关政策，具体如下：</w:t>
      </w:r>
    </w:p>
    <w:p w14:paraId="77011AB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32.1本项目为货物类采购项目的，所提供的产品需综合考虑节能环保、节水、循环再生、低碳、有机等因素；本项目为物业、合同能源管理等服务类采购项目的，应在服务中加强绿色低碳管理。</w:t>
      </w:r>
    </w:p>
    <w:p w14:paraId="3AE8D171">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32.2本项目中涉及商品的包装应按照“财办库〔2020〕123号《关于印发《商品包装政府采购需求标准（试行）》、《快递包装政府采购需求标准（试行）》的通知》”执行,在供货、安装过程中能到做到低碳物流、环保节约、提高资源利用率；涉及设备运维参考《绿色数据中心政府采购需求标准（试行）》（财库【2023】7号文）执行。</w:t>
      </w:r>
    </w:p>
    <w:p w14:paraId="141E0B12">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32.3本项目中涉及涂料、胶黏剂、油墨、清洗剂等挥发性有机物产品的，要执行国家和江苏省VOCs含量限制标准，优先使用低挥发性原辅材料，使用低VOCs含量的涂料、胶黏剂等。</w:t>
      </w:r>
    </w:p>
    <w:p w14:paraId="654CA67B">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33. 履约资金扶持政策</w:t>
      </w:r>
    </w:p>
    <w:p w14:paraId="3B9B92BF">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33.1政府采购合同信用融资是为支持中小企业发展，缓解中小企业融资难题推出的一项融资服务举措，成交人可凭政府采购合同办理融资贷款。该贷款无需抵押、担保，按照双方自愿的原则提供便捷、优惠的贷款服务。详情请见江苏政府采购网“政采贷”专栏。</w:t>
      </w:r>
    </w:p>
    <w:p w14:paraId="172BC516">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33.2有融资贷款需求的成交人，与采购人在苏采云【合同在线签订】模块中进行合同在线签订时，【账户信息完善】的“是否融资”一栏中需选择“是”，同时完善收款账号信息和合同补充协议（融资账号）。</w:t>
      </w:r>
    </w:p>
    <w:p w14:paraId="3B03B579">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14:paraId="56047020">
      <w:pPr>
        <w:spacing w:line="420" w:lineRule="exact"/>
        <w:jc w:val="center"/>
        <w:outlineLvl w:val="0"/>
        <w:rPr>
          <w:rFonts w:hint="eastAsia" w:ascii="宋体" w:hAnsi="宋体" w:eastAsia="宋体" w:cs="宋体"/>
          <w:b/>
          <w:sz w:val="30"/>
          <w:szCs w:val="30"/>
          <w:highlight w:val="none"/>
        </w:rPr>
      </w:pPr>
      <w:r>
        <w:rPr>
          <w:rFonts w:hint="eastAsia" w:ascii="宋体" w:hAnsi="宋体" w:eastAsia="宋体" w:cs="宋体"/>
          <w:b/>
          <w:sz w:val="30"/>
          <w:szCs w:val="30"/>
          <w:highlight w:val="none"/>
        </w:rPr>
        <w:t>第三章  评标标准</w:t>
      </w:r>
    </w:p>
    <w:p w14:paraId="178AA0E9">
      <w:pPr>
        <w:spacing w:line="44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一、本项目采用综合评分法进行评审。磋商小组仅对确定为实质上响应磋商文件要求的响应文件进行评价和比较。综合评分法，是指响应文件满足磋商文件全部要求且按照按评审因素的量化指标评审得分最高的供应商为成交候选供应商的评标方法。</w:t>
      </w:r>
    </w:p>
    <w:p w14:paraId="73F50AD0">
      <w:pPr>
        <w:spacing w:line="440" w:lineRule="exact"/>
        <w:ind w:firstLine="539"/>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磋商小组将依据下列评分细则进行评标（总分值:100分）：投标报价得分保留小数点后两位，小数点后第三位四舍五入。</w:t>
      </w:r>
    </w:p>
    <w:p w14:paraId="05FCA980">
      <w:pPr>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综合评审因素和评分标准（100分）</w:t>
      </w:r>
    </w:p>
    <w:p w14:paraId="38AFA654">
      <w:pPr>
        <w:spacing w:line="420" w:lineRule="exact"/>
        <w:jc w:val="center"/>
        <w:rPr>
          <w:rFonts w:hint="eastAsia" w:ascii="宋体" w:hAnsi="宋体" w:eastAsia="宋体" w:cs="宋体"/>
          <w:b/>
          <w:sz w:val="24"/>
          <w:szCs w:val="24"/>
          <w:highlight w:val="none"/>
        </w:rPr>
      </w:pPr>
    </w:p>
    <w:tbl>
      <w:tblPr>
        <w:tblStyle w:val="13"/>
        <w:tblW w:w="982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757"/>
        <w:gridCol w:w="1274"/>
        <w:gridCol w:w="6003"/>
        <w:gridCol w:w="648"/>
      </w:tblGrid>
      <w:tr w14:paraId="52E0E2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tcBorders>
              <w:top w:val="single" w:color="auto" w:sz="8" w:space="0"/>
              <w:left w:val="single" w:color="auto" w:sz="8" w:space="0"/>
              <w:bottom w:val="single" w:color="auto" w:sz="6" w:space="0"/>
              <w:right w:val="single" w:color="auto" w:sz="6" w:space="0"/>
            </w:tcBorders>
            <w:vAlign w:val="center"/>
          </w:tcPr>
          <w:p w14:paraId="34AAC8BF">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评分项</w:t>
            </w:r>
          </w:p>
        </w:tc>
        <w:tc>
          <w:tcPr>
            <w:tcW w:w="757" w:type="dxa"/>
            <w:tcBorders>
              <w:top w:val="single" w:color="auto" w:sz="8" w:space="0"/>
              <w:left w:val="single" w:color="auto" w:sz="6" w:space="0"/>
              <w:bottom w:val="single" w:color="auto" w:sz="6" w:space="0"/>
              <w:right w:val="single" w:color="auto" w:sz="6" w:space="0"/>
            </w:tcBorders>
            <w:vAlign w:val="center"/>
          </w:tcPr>
          <w:p w14:paraId="56AEDEEF">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序号</w:t>
            </w:r>
          </w:p>
        </w:tc>
        <w:tc>
          <w:tcPr>
            <w:tcW w:w="1274" w:type="dxa"/>
            <w:tcBorders>
              <w:top w:val="single" w:color="auto" w:sz="8" w:space="0"/>
              <w:left w:val="single" w:color="auto" w:sz="6" w:space="0"/>
              <w:bottom w:val="single" w:color="auto" w:sz="6" w:space="0"/>
              <w:right w:val="single" w:color="auto" w:sz="6" w:space="0"/>
            </w:tcBorders>
            <w:vAlign w:val="center"/>
          </w:tcPr>
          <w:p w14:paraId="59573232">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评分因素</w:t>
            </w:r>
          </w:p>
        </w:tc>
        <w:tc>
          <w:tcPr>
            <w:tcW w:w="6003" w:type="dxa"/>
            <w:tcBorders>
              <w:top w:val="single" w:color="auto" w:sz="8" w:space="0"/>
              <w:left w:val="single" w:color="auto" w:sz="6" w:space="0"/>
              <w:bottom w:val="single" w:color="auto" w:sz="6" w:space="0"/>
              <w:right w:val="single" w:color="auto" w:sz="6" w:space="0"/>
            </w:tcBorders>
            <w:vAlign w:val="center"/>
          </w:tcPr>
          <w:p w14:paraId="3C285BB7">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评分细则</w:t>
            </w:r>
          </w:p>
        </w:tc>
        <w:tc>
          <w:tcPr>
            <w:tcW w:w="648" w:type="dxa"/>
            <w:tcBorders>
              <w:top w:val="single" w:color="auto" w:sz="8" w:space="0"/>
              <w:left w:val="single" w:color="auto" w:sz="6" w:space="0"/>
              <w:bottom w:val="single" w:color="auto" w:sz="6" w:space="0"/>
              <w:right w:val="single" w:color="auto" w:sz="8" w:space="0"/>
            </w:tcBorders>
            <w:vAlign w:val="center"/>
          </w:tcPr>
          <w:p w14:paraId="44BE1082">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分值</w:t>
            </w:r>
          </w:p>
        </w:tc>
      </w:tr>
      <w:tr w14:paraId="6A8898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tcBorders>
              <w:top w:val="single" w:color="auto" w:sz="6" w:space="0"/>
              <w:left w:val="single" w:color="auto" w:sz="8" w:space="0"/>
              <w:bottom w:val="single" w:color="auto" w:sz="6" w:space="0"/>
              <w:right w:val="single" w:color="auto" w:sz="6" w:space="0"/>
            </w:tcBorders>
            <w:vAlign w:val="center"/>
          </w:tcPr>
          <w:p w14:paraId="24A23587">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w:t>
            </w:r>
            <w:r>
              <w:rPr>
                <w:rFonts w:hint="eastAsia" w:ascii="宋体" w:hAnsi="宋体" w:eastAsia="宋体" w:cs="宋体"/>
                <w:bCs/>
                <w:sz w:val="24"/>
                <w:highlight w:val="none"/>
              </w:rPr>
              <w:t>价格</w:t>
            </w:r>
            <w:r>
              <w:rPr>
                <w:rFonts w:hint="eastAsia" w:ascii="宋体" w:hAnsi="宋体" w:eastAsia="宋体" w:cs="宋体"/>
                <w:bCs/>
                <w:color w:val="000000"/>
                <w:sz w:val="24"/>
                <w:highlight w:val="none"/>
              </w:rPr>
              <w:t>部分（</w:t>
            </w:r>
            <w:r>
              <w:rPr>
                <w:rFonts w:hint="eastAsia" w:ascii="宋体" w:hAnsi="宋体" w:eastAsia="宋体" w:cs="宋体"/>
                <w:bCs/>
                <w:color w:val="000000"/>
                <w:sz w:val="24"/>
                <w:highlight w:val="none"/>
                <w:lang w:val="en-US" w:eastAsia="zh-CN"/>
              </w:rPr>
              <w:t>3</w:t>
            </w:r>
            <w:r>
              <w:rPr>
                <w:rFonts w:hint="eastAsia" w:ascii="宋体" w:hAnsi="宋体" w:eastAsia="宋体" w:cs="宋体"/>
                <w:bCs/>
                <w:color w:val="000000"/>
                <w:sz w:val="24"/>
                <w:highlight w:val="none"/>
              </w:rPr>
              <w:t>0分）</w:t>
            </w:r>
          </w:p>
        </w:tc>
        <w:tc>
          <w:tcPr>
            <w:tcW w:w="757" w:type="dxa"/>
            <w:tcBorders>
              <w:top w:val="single" w:color="auto" w:sz="6" w:space="0"/>
              <w:left w:val="single" w:color="auto" w:sz="6" w:space="0"/>
              <w:bottom w:val="single" w:color="auto" w:sz="6" w:space="0"/>
              <w:right w:val="single" w:color="auto" w:sz="6" w:space="0"/>
            </w:tcBorders>
            <w:vAlign w:val="center"/>
          </w:tcPr>
          <w:p w14:paraId="06E1E408">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1.1</w:t>
            </w:r>
          </w:p>
        </w:tc>
        <w:tc>
          <w:tcPr>
            <w:tcW w:w="1274" w:type="dxa"/>
            <w:tcBorders>
              <w:top w:val="single" w:color="auto" w:sz="6" w:space="0"/>
              <w:left w:val="single" w:color="auto" w:sz="6" w:space="0"/>
              <w:bottom w:val="single" w:color="auto" w:sz="6" w:space="0"/>
              <w:right w:val="single" w:color="auto" w:sz="6" w:space="0"/>
            </w:tcBorders>
            <w:vAlign w:val="center"/>
          </w:tcPr>
          <w:p w14:paraId="7CF16CD3">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投标报价</w:t>
            </w:r>
          </w:p>
        </w:tc>
        <w:tc>
          <w:tcPr>
            <w:tcW w:w="6003" w:type="dxa"/>
            <w:tcBorders>
              <w:top w:val="single" w:color="auto" w:sz="6" w:space="0"/>
              <w:left w:val="single" w:color="auto" w:sz="6" w:space="0"/>
              <w:bottom w:val="single" w:color="auto" w:sz="6" w:space="0"/>
              <w:right w:val="single" w:color="auto" w:sz="6" w:space="0"/>
            </w:tcBorders>
            <w:vAlign w:val="center"/>
          </w:tcPr>
          <w:p w14:paraId="1ACA5DC6">
            <w:pPr>
              <w:spacing w:line="40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满足文件要求且投标报价最低的投标报价为评标基准价，其价格为满分。其他投标人的价格分按照下列公式计算：</w:t>
            </w:r>
          </w:p>
          <w:p w14:paraId="79144D30">
            <w:pPr>
              <w:spacing w:line="85" w:lineRule="atLeast"/>
              <w:rPr>
                <w:rFonts w:hint="eastAsia" w:ascii="宋体" w:hAnsi="宋体" w:eastAsia="宋体" w:cs="宋体"/>
                <w:bCs/>
                <w:sz w:val="24"/>
                <w:highlight w:val="none"/>
              </w:rPr>
            </w:pPr>
            <w:r>
              <w:rPr>
                <w:rFonts w:hint="eastAsia" w:ascii="宋体" w:hAnsi="宋体" w:eastAsia="宋体" w:cs="宋体"/>
                <w:bCs/>
                <w:color w:val="000000"/>
                <w:sz w:val="24"/>
                <w:highlight w:val="none"/>
              </w:rPr>
              <w:t>投标报价得分＝（评标基准价/投标报价）×</w:t>
            </w:r>
            <w:r>
              <w:rPr>
                <w:rFonts w:hint="eastAsia" w:ascii="宋体" w:hAnsi="宋体" w:eastAsia="宋体" w:cs="宋体"/>
                <w:bCs/>
                <w:color w:val="000000"/>
                <w:sz w:val="24"/>
                <w:highlight w:val="none"/>
                <w:lang w:val="en-US" w:eastAsia="zh-CN"/>
              </w:rPr>
              <w:t>3</w:t>
            </w:r>
            <w:r>
              <w:rPr>
                <w:rFonts w:hint="eastAsia" w:ascii="宋体" w:hAnsi="宋体" w:eastAsia="宋体" w:cs="宋体"/>
                <w:bCs/>
                <w:color w:val="000000"/>
                <w:sz w:val="24"/>
                <w:highlight w:val="none"/>
              </w:rPr>
              <w:t>0分</w:t>
            </w:r>
          </w:p>
        </w:tc>
        <w:tc>
          <w:tcPr>
            <w:tcW w:w="648" w:type="dxa"/>
            <w:tcBorders>
              <w:top w:val="single" w:color="auto" w:sz="6" w:space="0"/>
              <w:left w:val="single" w:color="auto" w:sz="6" w:space="0"/>
              <w:bottom w:val="single" w:color="auto" w:sz="6" w:space="0"/>
              <w:right w:val="single" w:color="auto" w:sz="8" w:space="0"/>
            </w:tcBorders>
            <w:vAlign w:val="center"/>
          </w:tcPr>
          <w:p w14:paraId="0F1B8B6C">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3</w:t>
            </w:r>
            <w:r>
              <w:rPr>
                <w:rFonts w:hint="eastAsia" w:ascii="宋体" w:hAnsi="宋体" w:eastAsia="宋体" w:cs="宋体"/>
                <w:bCs/>
                <w:color w:val="000000"/>
                <w:sz w:val="24"/>
                <w:highlight w:val="none"/>
              </w:rPr>
              <w:t>0</w:t>
            </w:r>
          </w:p>
        </w:tc>
      </w:tr>
      <w:tr w14:paraId="31F724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6" w:hRule="atLeast"/>
          <w:jc w:val="center"/>
        </w:trPr>
        <w:tc>
          <w:tcPr>
            <w:tcW w:w="1143" w:type="dxa"/>
            <w:tcBorders>
              <w:top w:val="single" w:color="auto" w:sz="6" w:space="0"/>
              <w:left w:val="single" w:color="auto" w:sz="8" w:space="0"/>
              <w:right w:val="single" w:color="auto" w:sz="6" w:space="0"/>
            </w:tcBorders>
            <w:vAlign w:val="center"/>
          </w:tcPr>
          <w:p w14:paraId="186FEDC4">
            <w:pPr>
              <w:spacing w:line="400" w:lineRule="exact"/>
              <w:jc w:val="center"/>
              <w:rPr>
                <w:rFonts w:hint="eastAsia" w:ascii="宋体" w:hAnsi="宋体" w:eastAsia="宋体" w:cs="宋体"/>
                <w:bCs/>
                <w:color w:val="000000"/>
                <w:sz w:val="24"/>
                <w:highlight w:val="none"/>
                <w:lang w:eastAsia="zh-CN"/>
              </w:rPr>
            </w:pPr>
            <w:r>
              <w:rPr>
                <w:rFonts w:hint="eastAsia" w:ascii="宋体" w:hAnsi="宋体" w:eastAsia="宋体" w:cs="宋体"/>
                <w:bCs/>
                <w:color w:val="auto"/>
                <w:sz w:val="24"/>
                <w:highlight w:val="none"/>
                <w:lang w:val="en-US" w:eastAsia="zh-CN"/>
              </w:rPr>
              <w:t>二、</w:t>
            </w:r>
            <w:r>
              <w:rPr>
                <w:rFonts w:hint="eastAsia" w:ascii="宋体" w:hAnsi="宋体" w:eastAsia="宋体" w:cs="宋体"/>
                <w:bCs/>
                <w:color w:val="auto"/>
                <w:sz w:val="24"/>
                <w:highlight w:val="none"/>
              </w:rPr>
              <w:t>技术部分</w:t>
            </w:r>
            <w:r>
              <w:rPr>
                <w:rFonts w:hint="eastAsia" w:ascii="宋体" w:hAnsi="宋体" w:eastAsia="宋体" w:cs="宋体"/>
                <w:bCs/>
                <w:color w:val="auto"/>
                <w:sz w:val="24"/>
                <w:highlight w:val="none"/>
                <w:lang w:val="en-US" w:eastAsia="zh-CN"/>
              </w:rPr>
              <w:t xml:space="preserve"> </w:t>
            </w:r>
          </w:p>
        </w:tc>
        <w:tc>
          <w:tcPr>
            <w:tcW w:w="757" w:type="dxa"/>
            <w:tcBorders>
              <w:top w:val="single" w:color="auto" w:sz="6" w:space="0"/>
              <w:left w:val="single" w:color="auto" w:sz="6" w:space="0"/>
              <w:right w:val="single" w:color="auto" w:sz="6" w:space="0"/>
            </w:tcBorders>
            <w:vAlign w:val="center"/>
          </w:tcPr>
          <w:p w14:paraId="73E849F2">
            <w:pPr>
              <w:spacing w:line="38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2.1</w:t>
            </w:r>
          </w:p>
        </w:tc>
        <w:tc>
          <w:tcPr>
            <w:tcW w:w="1274" w:type="dxa"/>
            <w:tcBorders>
              <w:top w:val="single" w:color="auto" w:sz="6" w:space="0"/>
              <w:left w:val="single" w:color="auto" w:sz="6" w:space="0"/>
              <w:right w:val="single" w:color="auto" w:sz="6" w:space="0"/>
            </w:tcBorders>
            <w:vAlign w:val="center"/>
          </w:tcPr>
          <w:p w14:paraId="4859AA24">
            <w:pPr>
              <w:adjustRightInd w:val="0"/>
              <w:snapToGrid w:val="0"/>
              <w:spacing w:line="380" w:lineRule="exact"/>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服务要求</w:t>
            </w:r>
          </w:p>
        </w:tc>
        <w:tc>
          <w:tcPr>
            <w:tcW w:w="6003" w:type="dxa"/>
            <w:tcBorders>
              <w:top w:val="single" w:color="auto" w:sz="6" w:space="0"/>
              <w:left w:val="single" w:color="auto" w:sz="6" w:space="0"/>
              <w:right w:val="single" w:color="auto" w:sz="6" w:space="0"/>
            </w:tcBorders>
            <w:vAlign w:val="center"/>
          </w:tcPr>
          <w:p w14:paraId="58073AC1">
            <w:pPr>
              <w:adjustRightInd w:val="0"/>
              <w:snapToGrid w:val="0"/>
              <w:spacing w:line="38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1.服务目标、岗前培训及整体设想方案，本项最高得</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r>
              <w:rPr>
                <w:rFonts w:hint="eastAsia" w:ascii="宋体" w:hAnsi="宋体" w:cs="宋体"/>
                <w:bCs/>
                <w:color w:val="auto"/>
                <w:sz w:val="24"/>
                <w:highlight w:val="none"/>
                <w:lang w:eastAsia="zh-CN"/>
              </w:rPr>
              <w:t>比较完整、详尽的得</w:t>
            </w:r>
            <w:r>
              <w:rPr>
                <w:rFonts w:hint="eastAsia" w:ascii="宋体" w:hAnsi="宋体" w:cs="宋体"/>
                <w:bCs/>
                <w:color w:val="auto"/>
                <w:sz w:val="24"/>
                <w:highlight w:val="none"/>
                <w:lang w:val="en-US" w:eastAsia="zh-CN"/>
              </w:rPr>
              <w:t>3-5</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基本完整的得</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、一般</w:t>
            </w:r>
            <w:r>
              <w:rPr>
                <w:rFonts w:hint="eastAsia" w:ascii="宋体" w:hAnsi="宋体" w:cs="宋体"/>
                <w:bCs/>
                <w:color w:val="auto"/>
                <w:sz w:val="24"/>
                <w:highlight w:val="none"/>
                <w:lang w:eastAsia="zh-CN"/>
              </w:rPr>
              <w:t>完整的得</w:t>
            </w:r>
            <w:r>
              <w:rPr>
                <w:rFonts w:hint="eastAsia" w:ascii="宋体" w:hAnsi="宋体" w:cs="宋体"/>
                <w:bCs/>
                <w:color w:val="auto"/>
                <w:sz w:val="24"/>
                <w:highlight w:val="none"/>
                <w:lang w:val="en-US" w:eastAsia="zh-CN"/>
              </w:rPr>
              <w:t>0-1</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p>
          <w:p w14:paraId="245E5CAB">
            <w:pPr>
              <w:adjustRightInd w:val="0"/>
              <w:snapToGrid w:val="0"/>
              <w:spacing w:line="38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服务人员合理安排、服务标准优化方案</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本项最高得</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r>
              <w:rPr>
                <w:rFonts w:hint="eastAsia" w:ascii="宋体" w:hAnsi="宋体" w:cs="宋体"/>
                <w:bCs/>
                <w:color w:val="auto"/>
                <w:sz w:val="24"/>
                <w:highlight w:val="none"/>
                <w:lang w:eastAsia="zh-CN"/>
              </w:rPr>
              <w:t>比较完整、详尽的得</w:t>
            </w:r>
            <w:r>
              <w:rPr>
                <w:rFonts w:hint="eastAsia" w:ascii="宋体" w:hAnsi="宋体" w:cs="宋体"/>
                <w:bCs/>
                <w:color w:val="auto"/>
                <w:sz w:val="24"/>
                <w:highlight w:val="none"/>
                <w:lang w:val="en-US" w:eastAsia="zh-CN"/>
              </w:rPr>
              <w:t xml:space="preserve"> 3-5</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基本完整的得</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、一般</w:t>
            </w:r>
            <w:r>
              <w:rPr>
                <w:rFonts w:hint="eastAsia" w:ascii="宋体" w:hAnsi="宋体" w:cs="宋体"/>
                <w:bCs/>
                <w:color w:val="auto"/>
                <w:sz w:val="24"/>
                <w:highlight w:val="none"/>
                <w:lang w:eastAsia="zh-CN"/>
              </w:rPr>
              <w:t>完整的得</w:t>
            </w:r>
            <w:r>
              <w:rPr>
                <w:rFonts w:hint="eastAsia" w:ascii="宋体" w:hAnsi="宋体" w:cs="宋体"/>
                <w:bCs/>
                <w:color w:val="auto"/>
                <w:sz w:val="24"/>
                <w:highlight w:val="none"/>
                <w:lang w:val="en-US" w:eastAsia="zh-CN"/>
              </w:rPr>
              <w:t>0-1</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p>
          <w:p w14:paraId="156494A7">
            <w:pPr>
              <w:adjustRightInd w:val="0"/>
              <w:snapToGrid w:val="0"/>
              <w:spacing w:line="38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.服务的信息化管理特色与创新方案，本项最高得</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r>
              <w:rPr>
                <w:rFonts w:hint="eastAsia" w:ascii="宋体" w:hAnsi="宋体" w:cs="宋体"/>
                <w:bCs/>
                <w:color w:val="auto"/>
                <w:sz w:val="24"/>
                <w:highlight w:val="none"/>
                <w:lang w:eastAsia="zh-CN"/>
              </w:rPr>
              <w:t>比较完整、详尽的得</w:t>
            </w:r>
            <w:r>
              <w:rPr>
                <w:rFonts w:hint="eastAsia" w:ascii="宋体" w:hAnsi="宋体" w:cs="宋体"/>
                <w:bCs/>
                <w:color w:val="auto"/>
                <w:sz w:val="24"/>
                <w:highlight w:val="none"/>
                <w:lang w:val="en-US" w:eastAsia="zh-CN"/>
              </w:rPr>
              <w:t>3-5</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基本完整的得</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、一般</w:t>
            </w:r>
            <w:r>
              <w:rPr>
                <w:rFonts w:hint="eastAsia" w:ascii="宋体" w:hAnsi="宋体" w:cs="宋体"/>
                <w:bCs/>
                <w:color w:val="auto"/>
                <w:sz w:val="24"/>
                <w:highlight w:val="none"/>
                <w:lang w:eastAsia="zh-CN"/>
              </w:rPr>
              <w:t>完整的得</w:t>
            </w:r>
            <w:r>
              <w:rPr>
                <w:rFonts w:hint="eastAsia" w:ascii="宋体" w:hAnsi="宋体" w:cs="宋体"/>
                <w:bCs/>
                <w:color w:val="auto"/>
                <w:sz w:val="24"/>
                <w:highlight w:val="none"/>
                <w:lang w:val="en-US" w:eastAsia="zh-CN"/>
              </w:rPr>
              <w:t>0-1</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p>
          <w:p w14:paraId="301A56B3">
            <w:pPr>
              <w:adjustRightInd w:val="0"/>
              <w:snapToGrid w:val="0"/>
              <w:spacing w:line="38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.服务日常管理重点难点及科学应对方案，本项最高得</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r>
              <w:rPr>
                <w:rFonts w:hint="eastAsia" w:ascii="宋体" w:hAnsi="宋体" w:cs="宋体"/>
                <w:bCs/>
                <w:color w:val="auto"/>
                <w:sz w:val="24"/>
                <w:highlight w:val="none"/>
                <w:lang w:eastAsia="zh-CN"/>
              </w:rPr>
              <w:t>比较完整、详尽的得</w:t>
            </w:r>
            <w:r>
              <w:rPr>
                <w:rFonts w:hint="eastAsia" w:ascii="宋体" w:hAnsi="宋体" w:cs="宋体"/>
                <w:bCs/>
                <w:color w:val="auto"/>
                <w:sz w:val="24"/>
                <w:highlight w:val="none"/>
                <w:lang w:val="en-US" w:eastAsia="zh-CN"/>
              </w:rPr>
              <w:t>3-5</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基本完整的得</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、一般</w:t>
            </w:r>
            <w:r>
              <w:rPr>
                <w:rFonts w:hint="eastAsia" w:ascii="宋体" w:hAnsi="宋体" w:cs="宋体"/>
                <w:bCs/>
                <w:color w:val="auto"/>
                <w:sz w:val="24"/>
                <w:highlight w:val="none"/>
                <w:lang w:eastAsia="zh-CN"/>
              </w:rPr>
              <w:t>完整的得</w:t>
            </w:r>
            <w:r>
              <w:rPr>
                <w:rFonts w:hint="eastAsia" w:ascii="宋体" w:hAnsi="宋体" w:cs="宋体"/>
                <w:bCs/>
                <w:color w:val="auto"/>
                <w:sz w:val="24"/>
                <w:highlight w:val="none"/>
                <w:lang w:val="en-US" w:eastAsia="zh-CN"/>
              </w:rPr>
              <w:t>0-1</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p>
          <w:p w14:paraId="4E91C98E">
            <w:pPr>
              <w:adjustRightInd w:val="0"/>
              <w:snapToGrid w:val="0"/>
              <w:spacing w:line="38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.特殊情况下应急预案及保障措施方案，本项最高得</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r>
              <w:rPr>
                <w:rFonts w:hint="eastAsia" w:ascii="宋体" w:hAnsi="宋体" w:cs="宋体"/>
                <w:bCs/>
                <w:color w:val="auto"/>
                <w:sz w:val="24"/>
                <w:highlight w:val="none"/>
                <w:lang w:eastAsia="zh-CN"/>
              </w:rPr>
              <w:t>比较完整、详尽的得</w:t>
            </w:r>
            <w:r>
              <w:rPr>
                <w:rFonts w:hint="eastAsia" w:ascii="宋体" w:hAnsi="宋体" w:cs="宋体"/>
                <w:bCs/>
                <w:color w:val="auto"/>
                <w:sz w:val="24"/>
                <w:highlight w:val="none"/>
                <w:lang w:val="en-US" w:eastAsia="zh-CN"/>
              </w:rPr>
              <w:t>3-5</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基本完整的得</w:t>
            </w:r>
            <w:r>
              <w:rPr>
                <w:rFonts w:hint="eastAsia" w:ascii="宋体" w:hAnsi="宋体" w:cs="宋体"/>
                <w:bCs/>
                <w:color w:val="auto"/>
                <w:sz w:val="24"/>
                <w:highlight w:val="none"/>
                <w:lang w:val="en-US" w:eastAsia="zh-CN"/>
              </w:rPr>
              <w:t>2-3</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、一般</w:t>
            </w:r>
            <w:r>
              <w:rPr>
                <w:rFonts w:hint="eastAsia" w:ascii="宋体" w:hAnsi="宋体" w:cs="宋体"/>
                <w:bCs/>
                <w:color w:val="auto"/>
                <w:sz w:val="24"/>
                <w:highlight w:val="none"/>
                <w:lang w:eastAsia="zh-CN"/>
              </w:rPr>
              <w:t>完整的得</w:t>
            </w:r>
            <w:r>
              <w:rPr>
                <w:rFonts w:hint="eastAsia" w:ascii="宋体" w:hAnsi="宋体" w:cs="宋体"/>
                <w:bCs/>
                <w:color w:val="auto"/>
                <w:sz w:val="24"/>
                <w:highlight w:val="none"/>
                <w:lang w:val="en-US" w:eastAsia="zh-CN"/>
              </w:rPr>
              <w:t>0-1</w:t>
            </w:r>
            <w:r>
              <w:rPr>
                <w:rFonts w:hint="eastAsia" w:ascii="宋体" w:hAnsi="宋体" w:eastAsia="宋体" w:cs="宋体"/>
                <w:bCs/>
                <w:color w:val="auto"/>
                <w:sz w:val="24"/>
                <w:highlight w:val="none"/>
                <w:lang w:val="en-US" w:eastAsia="zh-CN"/>
              </w:rPr>
              <w:t>分</w:t>
            </w:r>
            <w:r>
              <w:rPr>
                <w:rFonts w:hint="eastAsia" w:ascii="宋体" w:hAnsi="宋体" w:cs="宋体"/>
                <w:bCs/>
                <w:color w:val="auto"/>
                <w:sz w:val="24"/>
                <w:highlight w:val="none"/>
                <w:lang w:val="en-US" w:eastAsia="zh-CN"/>
              </w:rPr>
              <w:t>（含）</w:t>
            </w:r>
            <w:r>
              <w:rPr>
                <w:rFonts w:hint="eastAsia" w:ascii="宋体" w:hAnsi="宋体" w:eastAsia="宋体" w:cs="宋体"/>
                <w:bCs/>
                <w:color w:val="auto"/>
                <w:sz w:val="24"/>
                <w:highlight w:val="none"/>
              </w:rPr>
              <w:t>；</w:t>
            </w:r>
          </w:p>
          <w:p w14:paraId="20081D0E">
            <w:pPr>
              <w:adjustRightInd w:val="0"/>
              <w:snapToGrid w:val="0"/>
              <w:spacing w:line="380" w:lineRule="exact"/>
              <w:jc w:val="left"/>
              <w:rPr>
                <w:rFonts w:hint="eastAsia" w:ascii="宋体" w:hAnsi="宋体" w:eastAsia="宋体" w:cs="宋体"/>
                <w:sz w:val="24"/>
                <w:szCs w:val="24"/>
                <w:highlight w:val="none"/>
              </w:rPr>
            </w:pPr>
            <w:r>
              <w:rPr>
                <w:rFonts w:hint="eastAsia" w:ascii="宋体" w:hAnsi="宋体" w:eastAsia="宋体" w:cs="宋体"/>
                <w:bCs/>
                <w:color w:val="auto"/>
                <w:sz w:val="24"/>
                <w:highlight w:val="none"/>
                <w:lang w:val="en-US" w:eastAsia="zh-CN"/>
              </w:rPr>
              <w:t>6.</w:t>
            </w:r>
            <w:r>
              <w:rPr>
                <w:rStyle w:val="18"/>
                <w:rFonts w:hint="eastAsia" w:ascii="宋体" w:hAnsi="宋体" w:eastAsia="宋体" w:cs="宋体"/>
                <w:b w:val="0"/>
                <w:bCs/>
                <w:sz w:val="24"/>
                <w:szCs w:val="24"/>
                <w:highlight w:val="none"/>
              </w:rPr>
              <w:t>人员整体配备方案</w:t>
            </w:r>
            <w:r>
              <w:rPr>
                <w:rStyle w:val="18"/>
                <w:rFonts w:hint="eastAsia" w:ascii="宋体" w:hAnsi="宋体" w:eastAsia="宋体" w:cs="宋体"/>
                <w:b w:val="0"/>
                <w:bCs/>
                <w:sz w:val="24"/>
                <w:szCs w:val="24"/>
                <w:highlight w:val="none"/>
                <w:lang w:eastAsia="zh-CN"/>
              </w:rPr>
              <w:t>：</w:t>
            </w:r>
            <w:r>
              <w:rPr>
                <w:rStyle w:val="18"/>
                <w:rFonts w:hint="eastAsia" w:ascii="宋体" w:hAnsi="宋体" w:eastAsia="宋体" w:cs="宋体"/>
                <w:b w:val="0"/>
                <w:bCs/>
                <w:sz w:val="24"/>
                <w:szCs w:val="24"/>
                <w:highlight w:val="none"/>
              </w:rPr>
              <w:t>根据各投标人的人员配备情况、从业人数、人员平均年龄、文化水平，人员分工用合理性方面综合比较评审，</w:t>
            </w:r>
            <w:r>
              <w:rPr>
                <w:rFonts w:hint="eastAsia" w:ascii="宋体" w:hAnsi="宋体" w:eastAsia="宋体" w:cs="宋体"/>
                <w:sz w:val="24"/>
                <w:szCs w:val="24"/>
                <w:highlight w:val="none"/>
              </w:rPr>
              <w:t>根据各项描述在0-8分间酌情打分。</w:t>
            </w:r>
          </w:p>
          <w:p w14:paraId="74F839A4">
            <w:pPr>
              <w:adjustRightInd w:val="0"/>
              <w:snapToGrid w:val="0"/>
              <w:spacing w:line="380" w:lineRule="exact"/>
              <w:jc w:val="left"/>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eastAsia="zh-CN"/>
              </w:rPr>
              <w:t>备注：未提供不得分。</w:t>
            </w:r>
          </w:p>
        </w:tc>
        <w:tc>
          <w:tcPr>
            <w:tcW w:w="648" w:type="dxa"/>
            <w:tcBorders>
              <w:top w:val="single" w:color="auto" w:sz="6" w:space="0"/>
              <w:left w:val="single" w:color="auto" w:sz="6" w:space="0"/>
              <w:bottom w:val="single" w:color="auto" w:sz="6" w:space="0"/>
              <w:right w:val="single" w:color="auto" w:sz="8" w:space="0"/>
            </w:tcBorders>
            <w:vAlign w:val="center"/>
          </w:tcPr>
          <w:p w14:paraId="314FAAFA">
            <w:pPr>
              <w:spacing w:line="360" w:lineRule="auto"/>
              <w:jc w:val="center"/>
              <w:rPr>
                <w:rFonts w:hint="default" w:ascii="宋体" w:hAnsi="宋体" w:eastAsia="宋体" w:cs="宋体"/>
                <w:bCs/>
                <w:color w:val="000000"/>
                <w:kern w:val="0"/>
                <w:sz w:val="24"/>
                <w:highlight w:val="none"/>
                <w:lang w:val="en-US" w:eastAsia="zh-CN"/>
              </w:rPr>
            </w:pPr>
            <w:r>
              <w:rPr>
                <w:rFonts w:hint="eastAsia" w:ascii="宋体" w:hAnsi="宋体" w:eastAsia="宋体" w:cs="宋体"/>
                <w:bCs/>
                <w:color w:val="000000"/>
                <w:kern w:val="0"/>
                <w:sz w:val="24"/>
                <w:highlight w:val="none"/>
                <w:lang w:val="en-US" w:eastAsia="zh-CN"/>
              </w:rPr>
              <w:t>33</w:t>
            </w:r>
          </w:p>
        </w:tc>
      </w:tr>
      <w:tr w14:paraId="147B0A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vMerge w:val="restart"/>
            <w:tcBorders>
              <w:top w:val="single" w:color="auto" w:sz="6" w:space="0"/>
              <w:left w:val="single" w:color="auto" w:sz="8" w:space="0"/>
              <w:right w:val="single" w:color="auto" w:sz="6" w:space="0"/>
            </w:tcBorders>
            <w:vAlign w:val="center"/>
          </w:tcPr>
          <w:p w14:paraId="30DA1AB3">
            <w:pPr>
              <w:spacing w:line="400" w:lineRule="exact"/>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三、商务部分</w:t>
            </w:r>
          </w:p>
          <w:p w14:paraId="5E441DB6">
            <w:pPr>
              <w:spacing w:line="400" w:lineRule="exact"/>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val="en-US" w:eastAsia="zh-CN"/>
              </w:rPr>
              <w:t xml:space="preserve"> </w:t>
            </w:r>
          </w:p>
        </w:tc>
        <w:tc>
          <w:tcPr>
            <w:tcW w:w="757" w:type="dxa"/>
            <w:tcBorders>
              <w:top w:val="single" w:color="auto" w:sz="6" w:space="0"/>
              <w:left w:val="single" w:color="auto" w:sz="6" w:space="0"/>
              <w:bottom w:val="single" w:color="auto" w:sz="6" w:space="0"/>
              <w:right w:val="single" w:color="auto" w:sz="6" w:space="0"/>
            </w:tcBorders>
            <w:vAlign w:val="center"/>
          </w:tcPr>
          <w:p w14:paraId="38A641C5">
            <w:pPr>
              <w:spacing w:line="38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3.1</w:t>
            </w:r>
          </w:p>
        </w:tc>
        <w:tc>
          <w:tcPr>
            <w:tcW w:w="1274" w:type="dxa"/>
            <w:tcBorders>
              <w:top w:val="single" w:color="auto" w:sz="6" w:space="0"/>
              <w:left w:val="single" w:color="auto" w:sz="6" w:space="0"/>
              <w:bottom w:val="single" w:color="auto" w:sz="6" w:space="0"/>
              <w:right w:val="single" w:color="auto" w:sz="6" w:space="0"/>
            </w:tcBorders>
            <w:vAlign w:val="center"/>
          </w:tcPr>
          <w:p w14:paraId="3E6AAFD3">
            <w:pPr>
              <w:adjustRightInd w:val="0"/>
              <w:snapToGrid w:val="0"/>
              <w:spacing w:line="38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企业业绩</w:t>
            </w:r>
          </w:p>
        </w:tc>
        <w:tc>
          <w:tcPr>
            <w:tcW w:w="6003" w:type="dxa"/>
            <w:tcBorders>
              <w:top w:val="single" w:color="auto" w:sz="6" w:space="0"/>
              <w:left w:val="single" w:color="auto" w:sz="6" w:space="0"/>
              <w:bottom w:val="single" w:color="auto" w:sz="6" w:space="0"/>
              <w:right w:val="single" w:color="auto" w:sz="6" w:space="0"/>
            </w:tcBorders>
            <w:vAlign w:val="center"/>
          </w:tcPr>
          <w:p w14:paraId="6D8392F1">
            <w:pPr>
              <w:adjustRightInd w:val="0"/>
              <w:snapToGrid w:val="0"/>
              <w:spacing w:line="380" w:lineRule="exact"/>
              <w:jc w:val="left"/>
              <w:rPr>
                <w:rFonts w:hint="eastAsia" w:ascii="宋体" w:hAnsi="宋体" w:eastAsia="宋体" w:cs="宋体"/>
                <w:bCs/>
                <w:color w:val="000000"/>
                <w:sz w:val="24"/>
                <w:highlight w:val="none"/>
              </w:rPr>
            </w:pPr>
            <w:r>
              <w:rPr>
                <w:rFonts w:hint="eastAsia" w:ascii="宋体" w:hAnsi="宋体" w:eastAsia="宋体" w:cs="宋体"/>
                <w:bCs/>
                <w:color w:val="auto"/>
                <w:sz w:val="24"/>
                <w:highlight w:val="none"/>
              </w:rPr>
              <w:t>供应商提供自202</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年1月1日以来（以合同签订时间为准）</w:t>
            </w:r>
            <w:r>
              <w:rPr>
                <w:rStyle w:val="18"/>
                <w:rFonts w:hint="eastAsia" w:ascii="宋体" w:hAnsi="宋体" w:eastAsia="宋体" w:cs="宋体"/>
                <w:b w:val="0"/>
                <w:bCs/>
                <w:sz w:val="24"/>
                <w:szCs w:val="24"/>
                <w:highlight w:val="none"/>
              </w:rPr>
              <w:t>投标人承担过政府购买服务物业管理服务项目或承担过3000人规模及以上学校物业服务项目，每提供一份合同得2分，最高得6分。</w:t>
            </w:r>
            <w:r>
              <w:rPr>
                <w:rFonts w:hint="eastAsia" w:ascii="宋体" w:hAnsi="宋体" w:eastAsia="宋体" w:cs="宋体"/>
                <w:b w:val="0"/>
                <w:bCs/>
                <w:color w:val="auto"/>
                <w:sz w:val="24"/>
                <w:highlight w:val="none"/>
              </w:rPr>
              <w:t>（</w:t>
            </w:r>
            <w:bookmarkStart w:id="9" w:name="OLE_LINK1"/>
            <w:r>
              <w:rPr>
                <w:rFonts w:hint="eastAsia" w:ascii="宋体" w:hAnsi="宋体" w:eastAsia="宋体" w:cs="宋体"/>
                <w:b w:val="0"/>
                <w:bCs/>
                <w:color w:val="auto"/>
                <w:sz w:val="24"/>
                <w:highlight w:val="none"/>
              </w:rPr>
              <w:t>投标文件中同时提供合同</w:t>
            </w:r>
            <w:r>
              <w:rPr>
                <w:rFonts w:hint="eastAsia" w:ascii="宋体" w:hAnsi="宋体" w:cs="宋体"/>
                <w:b w:val="0"/>
                <w:bCs/>
                <w:color w:val="auto"/>
                <w:sz w:val="24"/>
                <w:highlight w:val="none"/>
                <w:lang w:eastAsia="zh-CN"/>
              </w:rPr>
              <w:t>扫描件</w:t>
            </w:r>
            <w:r>
              <w:rPr>
                <w:rFonts w:hint="eastAsia" w:ascii="宋体" w:hAnsi="宋体" w:eastAsia="宋体" w:cs="宋体"/>
                <w:b w:val="0"/>
                <w:bCs/>
                <w:color w:val="auto"/>
                <w:sz w:val="24"/>
                <w:highlight w:val="none"/>
              </w:rPr>
              <w:t>、合同对应发票</w:t>
            </w:r>
            <w:r>
              <w:rPr>
                <w:rFonts w:hint="eastAsia" w:ascii="宋体" w:hAnsi="宋体" w:cs="宋体"/>
                <w:b w:val="0"/>
                <w:bCs/>
                <w:color w:val="auto"/>
                <w:sz w:val="24"/>
                <w:highlight w:val="none"/>
                <w:lang w:eastAsia="zh-CN"/>
              </w:rPr>
              <w:t>扫描件</w:t>
            </w:r>
            <w:r>
              <w:rPr>
                <w:rFonts w:hint="eastAsia" w:ascii="宋体" w:hAnsi="宋体" w:eastAsia="宋体" w:cs="宋体"/>
                <w:b w:val="0"/>
                <w:bCs/>
                <w:color w:val="auto"/>
                <w:sz w:val="24"/>
                <w:highlight w:val="none"/>
              </w:rPr>
              <w:t>以及在国家税务总局全国增值税发票查验平台</w:t>
            </w:r>
            <w:r>
              <w:rPr>
                <w:rFonts w:hint="eastAsia" w:ascii="宋体" w:hAnsi="宋体" w:eastAsia="宋体" w:cs="宋体"/>
                <w:b/>
                <w:bCs/>
                <w:color w:val="auto"/>
                <w:sz w:val="24"/>
                <w:highlight w:val="none"/>
              </w:rPr>
              <w:t>（https://inv-veri.chinatax.gov.cn/）对应发票查验结果的截图</w:t>
            </w:r>
            <w:bookmarkEnd w:id="9"/>
            <w:r>
              <w:rPr>
                <w:rFonts w:hint="eastAsia" w:ascii="宋体" w:hAnsi="宋体" w:eastAsia="宋体" w:cs="宋体"/>
                <w:b/>
                <w:bCs/>
                <w:color w:val="auto"/>
                <w:sz w:val="24"/>
                <w:highlight w:val="none"/>
              </w:rPr>
              <w:t>（合同、发票、发票查验结果截图须同时提供，缺任意一项均不予认可）</w:t>
            </w:r>
            <w:r>
              <w:rPr>
                <w:rFonts w:hint="eastAsia" w:ascii="宋体" w:hAnsi="宋体" w:eastAsia="宋体" w:cs="宋体"/>
                <w:bCs/>
                <w:color w:val="auto"/>
                <w:sz w:val="24"/>
                <w:highlight w:val="none"/>
              </w:rPr>
              <w:t>。</w:t>
            </w:r>
          </w:p>
        </w:tc>
        <w:tc>
          <w:tcPr>
            <w:tcW w:w="648" w:type="dxa"/>
            <w:tcBorders>
              <w:top w:val="single" w:color="auto" w:sz="6" w:space="0"/>
              <w:left w:val="single" w:color="auto" w:sz="6" w:space="0"/>
              <w:bottom w:val="single" w:color="auto" w:sz="6" w:space="0"/>
              <w:right w:val="single" w:color="auto" w:sz="8" w:space="0"/>
            </w:tcBorders>
            <w:vAlign w:val="center"/>
          </w:tcPr>
          <w:p w14:paraId="3BF4090C">
            <w:pPr>
              <w:spacing w:line="360" w:lineRule="auto"/>
              <w:jc w:val="center"/>
              <w:rPr>
                <w:rFonts w:hint="eastAsia" w:ascii="宋体" w:hAnsi="宋体" w:eastAsia="宋体" w:cs="宋体"/>
                <w:bCs/>
                <w:color w:val="000000"/>
                <w:sz w:val="24"/>
                <w:highlight w:val="none"/>
                <w:lang w:eastAsia="zh-CN"/>
              </w:rPr>
            </w:pPr>
            <w:r>
              <w:rPr>
                <w:rFonts w:hint="eastAsia" w:ascii="宋体" w:hAnsi="宋体" w:eastAsia="宋体" w:cs="宋体"/>
                <w:bCs/>
                <w:sz w:val="24"/>
                <w:highlight w:val="none"/>
                <w:lang w:val="en-US" w:eastAsia="zh-CN"/>
              </w:rPr>
              <w:t>6</w:t>
            </w:r>
          </w:p>
        </w:tc>
      </w:tr>
      <w:tr w14:paraId="6B5ECB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vMerge w:val="continue"/>
            <w:tcBorders>
              <w:left w:val="single" w:color="auto" w:sz="8" w:space="0"/>
              <w:right w:val="single" w:color="auto" w:sz="6" w:space="0"/>
            </w:tcBorders>
            <w:vAlign w:val="center"/>
          </w:tcPr>
          <w:p w14:paraId="0640EA8E">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bottom w:val="single" w:color="auto" w:sz="6" w:space="0"/>
              <w:right w:val="single" w:color="auto" w:sz="6" w:space="0"/>
            </w:tcBorders>
            <w:vAlign w:val="center"/>
          </w:tcPr>
          <w:p w14:paraId="6A46CCD6">
            <w:pPr>
              <w:spacing w:line="38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3.2</w:t>
            </w:r>
          </w:p>
        </w:tc>
        <w:tc>
          <w:tcPr>
            <w:tcW w:w="1274" w:type="dxa"/>
            <w:tcBorders>
              <w:top w:val="single" w:color="auto" w:sz="6" w:space="0"/>
              <w:left w:val="single" w:color="auto" w:sz="6" w:space="0"/>
              <w:bottom w:val="single" w:color="auto" w:sz="6" w:space="0"/>
              <w:right w:val="single" w:color="auto" w:sz="6" w:space="0"/>
            </w:tcBorders>
            <w:vAlign w:val="center"/>
          </w:tcPr>
          <w:p w14:paraId="5970232F">
            <w:pPr>
              <w:adjustRightInd w:val="0"/>
              <w:snapToGrid w:val="0"/>
              <w:spacing w:line="38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体系认证</w:t>
            </w:r>
          </w:p>
        </w:tc>
        <w:tc>
          <w:tcPr>
            <w:tcW w:w="6003" w:type="dxa"/>
            <w:tcBorders>
              <w:top w:val="single" w:color="auto" w:sz="6" w:space="0"/>
              <w:left w:val="single" w:color="auto" w:sz="6" w:space="0"/>
              <w:bottom w:val="single" w:color="auto" w:sz="6" w:space="0"/>
              <w:right w:val="single" w:color="auto" w:sz="6" w:space="0"/>
            </w:tcBorders>
            <w:vAlign w:val="center"/>
          </w:tcPr>
          <w:p w14:paraId="2B1ADFC5">
            <w:pPr>
              <w:spacing w:line="380" w:lineRule="exact"/>
              <w:rPr>
                <w:rFonts w:hint="eastAsia" w:ascii="宋体" w:hAnsi="宋体" w:eastAsia="宋体" w:cs="宋体"/>
                <w:sz w:val="24"/>
                <w:highlight w:val="none"/>
              </w:rPr>
            </w:pPr>
            <w:r>
              <w:rPr>
                <w:rFonts w:hint="eastAsia" w:ascii="宋体" w:hAnsi="宋体" w:eastAsia="宋体" w:cs="宋体"/>
                <w:color w:val="auto"/>
                <w:sz w:val="24"/>
                <w:highlight w:val="none"/>
              </w:rPr>
              <w:t>供应商具有有效期内的ISO9001质量管理体系认证</w:t>
            </w:r>
            <w:r>
              <w:rPr>
                <w:rFonts w:hint="eastAsia" w:ascii="宋体" w:hAnsi="宋体" w:eastAsia="宋体" w:cs="宋体"/>
                <w:color w:val="auto"/>
                <w:sz w:val="24"/>
                <w:highlight w:val="none"/>
                <w:lang w:val="en-US" w:eastAsia="zh-CN"/>
              </w:rPr>
              <w:t>得1分；</w:t>
            </w:r>
            <w:r>
              <w:rPr>
                <w:rFonts w:hint="eastAsia" w:ascii="宋体" w:hAnsi="宋体" w:eastAsia="宋体" w:cs="宋体"/>
                <w:color w:val="auto"/>
                <w:sz w:val="24"/>
                <w:highlight w:val="none"/>
              </w:rPr>
              <w:t>ISO45001职业健康安全管理体系认证（或OHSAS18001）</w:t>
            </w:r>
            <w:r>
              <w:rPr>
                <w:rFonts w:hint="eastAsia" w:ascii="宋体" w:hAnsi="宋体" w:eastAsia="宋体" w:cs="宋体"/>
                <w:color w:val="auto"/>
                <w:sz w:val="24"/>
                <w:highlight w:val="none"/>
                <w:lang w:val="en-US" w:eastAsia="zh-CN"/>
              </w:rPr>
              <w:t>得1分；</w:t>
            </w:r>
            <w:r>
              <w:rPr>
                <w:rFonts w:hint="eastAsia" w:ascii="宋体" w:hAnsi="宋体" w:eastAsia="宋体" w:cs="宋体"/>
                <w:color w:val="auto"/>
                <w:sz w:val="24"/>
                <w:highlight w:val="none"/>
              </w:rPr>
              <w:t>ISO14001环境管理认证</w:t>
            </w:r>
            <w:r>
              <w:rPr>
                <w:rFonts w:hint="eastAsia" w:ascii="宋体" w:hAnsi="宋体" w:eastAsia="宋体" w:cs="宋体"/>
                <w:color w:val="auto"/>
                <w:sz w:val="24"/>
                <w:highlight w:val="none"/>
                <w:lang w:val="en-US" w:eastAsia="zh-CN"/>
              </w:rPr>
              <w:t>得1分；</w:t>
            </w:r>
            <w:r>
              <w:rPr>
                <w:rFonts w:hint="eastAsia" w:ascii="宋体" w:hAnsi="宋体" w:eastAsia="宋体" w:cs="宋体"/>
                <w:sz w:val="24"/>
                <w:highlight w:val="none"/>
              </w:rPr>
              <w:t>获得</w:t>
            </w:r>
            <w:r>
              <w:rPr>
                <w:rFonts w:hint="eastAsia" w:ascii="宋体" w:hAnsi="宋体" w:cs="宋体"/>
                <w:sz w:val="24"/>
                <w:highlight w:val="none"/>
                <w:lang w:eastAsia="zh-CN"/>
              </w:rPr>
              <w:t>物业</w:t>
            </w:r>
            <w:r>
              <w:rPr>
                <w:rFonts w:hint="eastAsia" w:ascii="宋体" w:hAnsi="宋体" w:eastAsia="宋体" w:cs="宋体"/>
                <w:sz w:val="24"/>
                <w:highlight w:val="none"/>
              </w:rPr>
              <w:t>服务认证证书（GB/T2</w:t>
            </w:r>
            <w:r>
              <w:rPr>
                <w:rFonts w:hint="eastAsia" w:ascii="宋体" w:hAnsi="宋体" w:cs="宋体"/>
                <w:sz w:val="24"/>
                <w:highlight w:val="none"/>
                <w:lang w:val="en-US" w:eastAsia="zh-CN"/>
              </w:rPr>
              <w:t>0647.9</w:t>
            </w:r>
            <w:r>
              <w:rPr>
                <w:rFonts w:hint="eastAsia" w:ascii="宋体" w:hAnsi="宋体" w:eastAsia="宋体" w:cs="宋体"/>
                <w:sz w:val="24"/>
                <w:highlight w:val="none"/>
              </w:rPr>
              <w:t>）得1分</w:t>
            </w:r>
            <w:r>
              <w:rPr>
                <w:rFonts w:hint="eastAsia" w:ascii="宋体" w:hAnsi="宋体" w:eastAsia="宋体" w:cs="宋体"/>
                <w:b/>
                <w:bCs/>
                <w:sz w:val="24"/>
                <w:highlight w:val="none"/>
              </w:rPr>
              <w:t>（认证范围需包括物业管理内容）</w:t>
            </w:r>
          </w:p>
          <w:p w14:paraId="2ECB8416">
            <w:pPr>
              <w:adjustRightInd w:val="0"/>
              <w:snapToGrid w:val="0"/>
              <w:spacing w:line="380" w:lineRule="exact"/>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加盖公章。</w:t>
            </w:r>
          </w:p>
          <w:p w14:paraId="1C864CC0">
            <w:pPr>
              <w:pStyle w:val="8"/>
              <w:rPr>
                <w:rFonts w:hint="eastAsia" w:ascii="宋体" w:hAnsi="宋体" w:eastAsia="宋体" w:cs="宋体"/>
                <w:highlight w:val="none"/>
              </w:rPr>
            </w:pPr>
            <w:r>
              <w:rPr>
                <w:rFonts w:hint="eastAsia" w:ascii="宋体" w:hAnsi="宋体" w:eastAsia="宋体" w:cs="宋体"/>
                <w:bCs/>
                <w:color w:val="auto"/>
                <w:sz w:val="24"/>
                <w:highlight w:val="none"/>
              </w:rPr>
              <w:t>注：“全国认证认可信息公共服务平台”（http://cx.cnca.cn）查询投标人的体系认证情况，相关信息以开标当日的查询结果为准。评标委员会在评审过程中根据招标代理机构的查询结果进行评分，查询结果显示为证书“有效”方可得分，显示“暂停”和“撤销”或者查询不到的不予得分。）</w:t>
            </w:r>
          </w:p>
        </w:tc>
        <w:tc>
          <w:tcPr>
            <w:tcW w:w="648" w:type="dxa"/>
            <w:tcBorders>
              <w:top w:val="single" w:color="auto" w:sz="6" w:space="0"/>
              <w:left w:val="single" w:color="auto" w:sz="6" w:space="0"/>
              <w:bottom w:val="single" w:color="auto" w:sz="6" w:space="0"/>
              <w:right w:val="single" w:color="auto" w:sz="8" w:space="0"/>
            </w:tcBorders>
            <w:vAlign w:val="center"/>
          </w:tcPr>
          <w:p w14:paraId="10724AC4">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w:t>
            </w:r>
          </w:p>
        </w:tc>
      </w:tr>
      <w:tr w14:paraId="646A75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vMerge w:val="continue"/>
            <w:tcBorders>
              <w:left w:val="single" w:color="auto" w:sz="8" w:space="0"/>
              <w:right w:val="single" w:color="auto" w:sz="6" w:space="0"/>
            </w:tcBorders>
            <w:vAlign w:val="center"/>
          </w:tcPr>
          <w:p w14:paraId="0D4D4EE1">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bottom w:val="single" w:color="auto" w:sz="6" w:space="0"/>
              <w:right w:val="single" w:color="auto" w:sz="6" w:space="0"/>
            </w:tcBorders>
            <w:vAlign w:val="center"/>
          </w:tcPr>
          <w:p w14:paraId="215669CB">
            <w:pPr>
              <w:spacing w:line="380" w:lineRule="exact"/>
              <w:jc w:val="left"/>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rPr>
              <w:t>3.</w:t>
            </w:r>
            <w:r>
              <w:rPr>
                <w:rFonts w:hint="eastAsia" w:ascii="宋体" w:hAnsi="宋体" w:eastAsia="宋体" w:cs="宋体"/>
                <w:bCs/>
                <w:color w:val="000000"/>
                <w:sz w:val="24"/>
                <w:highlight w:val="none"/>
                <w:lang w:val="en-US" w:eastAsia="zh-CN"/>
              </w:rPr>
              <w:t>3</w:t>
            </w:r>
          </w:p>
        </w:tc>
        <w:tc>
          <w:tcPr>
            <w:tcW w:w="1274" w:type="dxa"/>
            <w:tcBorders>
              <w:top w:val="single" w:color="auto" w:sz="6" w:space="0"/>
              <w:left w:val="single" w:color="auto" w:sz="6" w:space="0"/>
              <w:bottom w:val="single" w:color="auto" w:sz="6" w:space="0"/>
              <w:right w:val="single" w:color="auto" w:sz="6" w:space="0"/>
            </w:tcBorders>
            <w:vAlign w:val="center"/>
          </w:tcPr>
          <w:p w14:paraId="24EDFB75">
            <w:pPr>
              <w:spacing w:line="400" w:lineRule="exact"/>
              <w:jc w:val="center"/>
              <w:rPr>
                <w:rFonts w:hint="eastAsia" w:ascii="宋体" w:hAnsi="宋体" w:eastAsia="宋体" w:cs="宋体"/>
                <w:bCs/>
                <w:color w:val="000000"/>
                <w:sz w:val="24"/>
                <w:highlight w:val="none"/>
                <w:lang w:val="en-US" w:eastAsia="zh-CN"/>
              </w:rPr>
            </w:pPr>
            <w:r>
              <w:rPr>
                <w:rFonts w:hint="eastAsia" w:ascii="宋体" w:hAnsi="宋体" w:eastAsia="宋体" w:cs="宋体"/>
                <w:sz w:val="24"/>
                <w:szCs w:val="24"/>
                <w:highlight w:val="none"/>
              </w:rPr>
              <w:t>项目负责人</w:t>
            </w:r>
          </w:p>
        </w:tc>
        <w:tc>
          <w:tcPr>
            <w:tcW w:w="6003" w:type="dxa"/>
            <w:tcBorders>
              <w:top w:val="single" w:color="auto" w:sz="6" w:space="0"/>
              <w:left w:val="single" w:color="auto" w:sz="6" w:space="0"/>
              <w:bottom w:val="single" w:color="auto" w:sz="6" w:space="0"/>
              <w:right w:val="single" w:color="auto" w:sz="6" w:space="0"/>
            </w:tcBorders>
            <w:vAlign w:val="center"/>
          </w:tcPr>
          <w:p w14:paraId="1E25216C">
            <w:pPr>
              <w:pStyle w:val="19"/>
              <w:spacing w:line="380" w:lineRule="exact"/>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所配备的项目负责人具有</w:t>
            </w:r>
            <w:r>
              <w:rPr>
                <w:rFonts w:hint="eastAsia" w:ascii="宋体" w:hAnsi="宋体" w:eastAsia="宋体" w:cs="宋体"/>
                <w:kern w:val="0"/>
                <w:sz w:val="24"/>
                <w:szCs w:val="24"/>
                <w:highlight w:val="none"/>
                <w:lang w:val="en-US" w:eastAsia="zh-CN"/>
              </w:rPr>
              <w:t>中级职称的</w:t>
            </w:r>
            <w:r>
              <w:rPr>
                <w:rFonts w:hint="eastAsia" w:ascii="宋体" w:hAnsi="宋体" w:eastAsia="宋体" w:cs="宋体"/>
                <w:kern w:val="0"/>
                <w:sz w:val="24"/>
                <w:szCs w:val="24"/>
                <w:highlight w:val="none"/>
              </w:rPr>
              <w:t>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分，具有安全生产管理培训合格证的得2分，具有学校物业管理经验的得2分（学校出具证明）。</w:t>
            </w:r>
          </w:p>
          <w:p w14:paraId="3C8736DB">
            <w:pPr>
              <w:spacing w:line="380" w:lineRule="exact"/>
              <w:jc w:val="left"/>
              <w:rPr>
                <w:rFonts w:hint="eastAsia" w:ascii="宋体" w:hAnsi="宋体" w:eastAsia="宋体" w:cs="宋体"/>
                <w:bCs/>
                <w:sz w:val="24"/>
                <w:highlight w:val="none"/>
                <w:lang w:eastAsia="zh-CN"/>
              </w:rPr>
            </w:pPr>
            <w:r>
              <w:rPr>
                <w:rFonts w:hint="eastAsia" w:ascii="宋体" w:hAnsi="宋体" w:eastAsia="宋体" w:cs="宋体"/>
                <w:kern w:val="0"/>
                <w:sz w:val="24"/>
                <w:szCs w:val="24"/>
                <w:highlight w:val="none"/>
              </w:rPr>
              <w:t>注：相关证明材料原件扫描件上传电子标书为</w:t>
            </w:r>
            <w:r>
              <w:rPr>
                <w:rFonts w:hint="eastAsia" w:ascii="宋体" w:hAnsi="宋体" w:eastAsia="宋体" w:cs="宋体"/>
                <w:kern w:val="0"/>
                <w:sz w:val="24"/>
                <w:szCs w:val="24"/>
                <w:highlight w:val="none"/>
                <w:lang w:eastAsia="zh-CN"/>
              </w:rPr>
              <w:t>准。</w:t>
            </w:r>
          </w:p>
        </w:tc>
        <w:tc>
          <w:tcPr>
            <w:tcW w:w="648" w:type="dxa"/>
            <w:tcBorders>
              <w:top w:val="single" w:color="auto" w:sz="6" w:space="0"/>
              <w:left w:val="single" w:color="auto" w:sz="6" w:space="0"/>
              <w:bottom w:val="single" w:color="auto" w:sz="6" w:space="0"/>
              <w:right w:val="single" w:color="auto" w:sz="8" w:space="0"/>
            </w:tcBorders>
            <w:vAlign w:val="center"/>
          </w:tcPr>
          <w:p w14:paraId="41126821">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w:t>
            </w:r>
          </w:p>
        </w:tc>
      </w:tr>
      <w:tr w14:paraId="77B0A2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1143" w:type="dxa"/>
            <w:tcBorders>
              <w:left w:val="single" w:color="auto" w:sz="8" w:space="0"/>
              <w:right w:val="single" w:color="auto" w:sz="6" w:space="0"/>
            </w:tcBorders>
            <w:vAlign w:val="center"/>
          </w:tcPr>
          <w:p w14:paraId="2CBB51EC">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right w:val="single" w:color="auto" w:sz="6" w:space="0"/>
            </w:tcBorders>
            <w:vAlign w:val="center"/>
          </w:tcPr>
          <w:p w14:paraId="1F0790E4">
            <w:pPr>
              <w:spacing w:line="38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3.4</w:t>
            </w:r>
          </w:p>
        </w:tc>
        <w:tc>
          <w:tcPr>
            <w:tcW w:w="1274" w:type="dxa"/>
            <w:tcBorders>
              <w:top w:val="single" w:color="auto" w:sz="6" w:space="0"/>
              <w:left w:val="single" w:color="auto" w:sz="6" w:space="0"/>
              <w:right w:val="single" w:color="auto" w:sz="6" w:space="0"/>
            </w:tcBorders>
            <w:vAlign w:val="center"/>
          </w:tcPr>
          <w:p w14:paraId="70F20282">
            <w:pPr>
              <w:spacing w:line="400" w:lineRule="exact"/>
              <w:jc w:val="center"/>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人员配备</w:t>
            </w:r>
          </w:p>
        </w:tc>
        <w:tc>
          <w:tcPr>
            <w:tcW w:w="6003" w:type="dxa"/>
            <w:vMerge w:val="restart"/>
            <w:tcBorders>
              <w:top w:val="single" w:color="auto" w:sz="6" w:space="0"/>
              <w:left w:val="single" w:color="auto" w:sz="6" w:space="0"/>
              <w:right w:val="single" w:color="auto" w:sz="6" w:space="0"/>
            </w:tcBorders>
            <w:vAlign w:val="center"/>
          </w:tcPr>
          <w:p w14:paraId="0767DB64">
            <w:pPr>
              <w:spacing w:line="380" w:lineRule="exact"/>
              <w:rPr>
                <w:rFonts w:hint="eastAsia" w:ascii="宋体" w:hAnsi="宋体" w:eastAsia="宋体" w:cs="宋体"/>
                <w:sz w:val="24"/>
                <w:highlight w:val="none"/>
              </w:rPr>
            </w:pPr>
            <w:r>
              <w:rPr>
                <w:rFonts w:hint="eastAsia" w:ascii="宋体" w:hAnsi="宋体" w:eastAsia="宋体" w:cs="宋体"/>
                <w:sz w:val="24"/>
                <w:highlight w:val="none"/>
              </w:rPr>
              <w:t>提供水电工作人员2名，</w:t>
            </w:r>
            <w:r>
              <w:rPr>
                <w:rFonts w:hint="eastAsia" w:ascii="宋体" w:hAnsi="宋体" w:eastAsia="宋体" w:cs="宋体"/>
                <w:sz w:val="24"/>
                <w:highlight w:val="none"/>
              </w:rPr>
              <w:t>（提供</w:t>
            </w:r>
            <w:r>
              <w:rPr>
                <w:rFonts w:hint="eastAsia" w:ascii="宋体" w:hAnsi="宋体" w:eastAsia="宋体" w:cs="宋体"/>
                <w:sz w:val="24"/>
                <w:highlight w:val="none"/>
                <w:lang w:val="en-US" w:eastAsia="zh-CN"/>
              </w:rPr>
              <w:t>江苏省应急管理厅颁发的高低压</w:t>
            </w:r>
            <w:r>
              <w:rPr>
                <w:rFonts w:hint="eastAsia" w:ascii="宋体" w:hAnsi="宋体" w:eastAsia="宋体" w:cs="宋体"/>
                <w:sz w:val="24"/>
                <w:highlight w:val="none"/>
              </w:rPr>
              <w:t>电工证），最高得</w:t>
            </w:r>
            <w:r>
              <w:rPr>
                <w:rFonts w:hint="eastAsia" w:ascii="宋体" w:hAnsi="宋体" w:eastAsia="宋体" w:cs="宋体"/>
                <w:sz w:val="24"/>
                <w:highlight w:val="none"/>
              </w:rPr>
              <w:t>4分，没有不得分。</w:t>
            </w:r>
          </w:p>
          <w:p w14:paraId="04DF96EA">
            <w:pPr>
              <w:numPr>
                <w:ilvl w:val="0"/>
                <w:numId w:val="0"/>
              </w:numPr>
              <w:spacing w:line="380" w:lineRule="exact"/>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注：相关证明材料原件扫描件上传电子标书为准。</w:t>
            </w:r>
          </w:p>
          <w:tbl>
            <w:tblPr>
              <w:tblStyle w:val="1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95"/>
            </w:tblGrid>
            <w:tr w14:paraId="4941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0" w:hRule="atLeast"/>
                <w:jc w:val="center"/>
              </w:trPr>
              <w:tc>
                <w:tcPr>
                  <w:tcW w:w="6095" w:type="dxa"/>
                  <w:vAlign w:val="center"/>
                </w:tcPr>
                <w:p w14:paraId="62B95ECD">
                  <w:pPr>
                    <w:widowControl/>
                    <w:spacing w:line="380" w:lineRule="exact"/>
                    <w:rPr>
                      <w:rFonts w:hint="eastAsia" w:ascii="宋体" w:hAnsi="宋体" w:eastAsia="宋体" w:cs="宋体"/>
                      <w:sz w:val="24"/>
                      <w:highlight w:val="none"/>
                      <w:u w:val="none"/>
                    </w:rPr>
                  </w:pPr>
                  <w:r>
                    <w:rPr>
                      <w:rFonts w:hint="eastAsia" w:ascii="宋体" w:hAnsi="宋体" w:eastAsia="宋体" w:cs="宋体"/>
                      <w:sz w:val="24"/>
                      <w:highlight w:val="none"/>
                      <w:u w:val="none"/>
                    </w:rPr>
                    <w:t>具有政府或物业或绿化行业主管部门颁发的诚信类荣誉（劳动保障诚信、信用管理示范企业等）。（提供政府部门或主管部门颁发的文件、证书等</w:t>
                  </w:r>
                  <w:r>
                    <w:rPr>
                      <w:rFonts w:hint="eastAsia" w:ascii="宋体" w:hAnsi="宋体" w:eastAsia="宋体" w:cs="宋体"/>
                      <w:kern w:val="0"/>
                      <w:sz w:val="24"/>
                      <w:highlight w:val="none"/>
                    </w:rPr>
                    <w:t>原件扫描件上传电子标书为准</w:t>
                  </w:r>
                  <w:r>
                    <w:rPr>
                      <w:rFonts w:hint="eastAsia" w:ascii="宋体" w:hAnsi="宋体" w:eastAsia="宋体" w:cs="宋体"/>
                      <w:sz w:val="24"/>
                      <w:highlight w:val="none"/>
                      <w:u w:val="none"/>
                    </w:rPr>
                    <w:t>）</w:t>
                  </w:r>
                </w:p>
              </w:tc>
            </w:tr>
          </w:tbl>
          <w:p w14:paraId="3223C45D">
            <w:pPr>
              <w:numPr>
                <w:ilvl w:val="0"/>
                <w:numId w:val="0"/>
              </w:numPr>
              <w:spacing w:line="380" w:lineRule="exact"/>
              <w:jc w:val="left"/>
              <w:rPr>
                <w:rFonts w:hint="eastAsia" w:ascii="宋体" w:hAnsi="宋体" w:eastAsia="宋体" w:cs="宋体"/>
                <w:bCs/>
                <w:color w:val="auto"/>
                <w:sz w:val="24"/>
                <w:highlight w:val="none"/>
                <w:lang w:val="en-US" w:eastAsia="zh-CN"/>
              </w:rPr>
            </w:pPr>
            <w:r>
              <w:rPr>
                <w:rFonts w:hint="eastAsia" w:ascii="宋体" w:hAnsi="宋体" w:eastAsia="宋体" w:cs="宋体"/>
                <w:sz w:val="24"/>
                <w:highlight w:val="none"/>
              </w:rPr>
              <w:t>20</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年1月1日以来投标人所管项目获得县级及以上</w:t>
            </w:r>
            <w:r>
              <w:rPr>
                <w:rFonts w:hint="eastAsia" w:ascii="宋体" w:hAnsi="宋体" w:eastAsia="宋体" w:cs="宋体"/>
                <w:color w:val="000000"/>
                <w:sz w:val="24"/>
                <w:highlight w:val="none"/>
              </w:rPr>
              <w:t>政府或行业主管部门</w:t>
            </w:r>
            <w:r>
              <w:rPr>
                <w:rFonts w:hint="eastAsia" w:ascii="宋体" w:hAnsi="宋体" w:eastAsia="宋体" w:cs="宋体"/>
                <w:sz w:val="24"/>
                <w:highlight w:val="none"/>
              </w:rPr>
              <w:t>表彰的有一个得1分</w:t>
            </w:r>
            <w:r>
              <w:rPr>
                <w:rFonts w:hint="eastAsia" w:ascii="宋体" w:hAnsi="宋体" w:eastAsia="宋体" w:cs="宋体"/>
                <w:color w:val="000000"/>
                <w:sz w:val="24"/>
                <w:highlight w:val="none"/>
              </w:rPr>
              <w:t>本项累计最高得4分。</w:t>
            </w:r>
            <w:r>
              <w:rPr>
                <w:rFonts w:hint="eastAsia" w:ascii="宋体" w:hAnsi="宋体" w:eastAsia="宋体" w:cs="宋体"/>
                <w:sz w:val="24"/>
                <w:highlight w:val="none"/>
              </w:rPr>
              <w:t>（提供表彰文件和服务合同、</w:t>
            </w:r>
            <w:r>
              <w:rPr>
                <w:rFonts w:hint="eastAsia" w:ascii="宋体" w:hAnsi="宋体" w:eastAsia="宋体" w:cs="宋体"/>
                <w:color w:val="000000"/>
                <w:sz w:val="24"/>
                <w:highlight w:val="none"/>
              </w:rPr>
              <w:t>荣誉证书</w:t>
            </w:r>
            <w:r>
              <w:rPr>
                <w:rFonts w:hint="eastAsia" w:ascii="宋体" w:hAnsi="宋体" w:eastAsia="宋体" w:cs="宋体"/>
                <w:kern w:val="0"/>
                <w:sz w:val="24"/>
                <w:highlight w:val="none"/>
              </w:rPr>
              <w:t>原件扫描件上传电子标书为准</w:t>
            </w:r>
            <w:r>
              <w:rPr>
                <w:rFonts w:hint="eastAsia" w:ascii="宋体" w:hAnsi="宋体" w:eastAsia="宋体" w:cs="宋体"/>
                <w:sz w:val="24"/>
                <w:highlight w:val="none"/>
              </w:rPr>
              <w:t>）。</w:t>
            </w:r>
          </w:p>
        </w:tc>
        <w:tc>
          <w:tcPr>
            <w:tcW w:w="648" w:type="dxa"/>
            <w:tcBorders>
              <w:top w:val="single" w:color="auto" w:sz="6" w:space="0"/>
              <w:left w:val="single" w:color="auto" w:sz="6" w:space="0"/>
              <w:bottom w:val="single" w:color="auto" w:sz="6" w:space="0"/>
              <w:right w:val="single" w:color="auto" w:sz="8" w:space="0"/>
            </w:tcBorders>
            <w:vAlign w:val="center"/>
          </w:tcPr>
          <w:p w14:paraId="234F3BC8">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w:t>
            </w:r>
          </w:p>
        </w:tc>
      </w:tr>
      <w:tr w14:paraId="200F70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1143" w:type="dxa"/>
            <w:tcBorders>
              <w:left w:val="single" w:color="auto" w:sz="8" w:space="0"/>
              <w:right w:val="single" w:color="auto" w:sz="6" w:space="0"/>
            </w:tcBorders>
            <w:vAlign w:val="center"/>
          </w:tcPr>
          <w:p w14:paraId="7DB210E8">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bottom w:val="single" w:color="auto" w:sz="6" w:space="0"/>
              <w:right w:val="single" w:color="auto" w:sz="6" w:space="0"/>
            </w:tcBorders>
            <w:vAlign w:val="center"/>
          </w:tcPr>
          <w:p w14:paraId="51DB6F9E">
            <w:pPr>
              <w:spacing w:line="38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3.5</w:t>
            </w:r>
          </w:p>
        </w:tc>
        <w:tc>
          <w:tcPr>
            <w:tcW w:w="1274" w:type="dxa"/>
            <w:tcBorders>
              <w:top w:val="single" w:color="auto" w:sz="6" w:space="0"/>
              <w:left w:val="single" w:color="auto" w:sz="6" w:space="0"/>
              <w:bottom w:val="single" w:color="auto" w:sz="6" w:space="0"/>
              <w:right w:val="single" w:color="auto" w:sz="6" w:space="0"/>
            </w:tcBorders>
            <w:vAlign w:val="center"/>
          </w:tcPr>
          <w:p w14:paraId="14021E4C">
            <w:pPr>
              <w:spacing w:line="400" w:lineRule="exact"/>
              <w:jc w:val="center"/>
              <w:rPr>
                <w:rFonts w:hint="eastAsia" w:ascii="宋体" w:hAnsi="宋体" w:eastAsia="宋体" w:cs="宋体"/>
                <w:bCs/>
                <w:color w:val="000000"/>
                <w:sz w:val="24"/>
                <w:highlight w:val="none"/>
                <w:lang w:val="en-US" w:eastAsia="zh-CN"/>
              </w:rPr>
            </w:pPr>
            <w:r>
              <w:rPr>
                <w:rFonts w:hint="eastAsia" w:ascii="宋体" w:hAnsi="宋体" w:eastAsia="宋体" w:cs="宋体"/>
                <w:sz w:val="24"/>
                <w:highlight w:val="none"/>
              </w:rPr>
              <w:t>企业诚信</w:t>
            </w:r>
          </w:p>
        </w:tc>
        <w:tc>
          <w:tcPr>
            <w:tcW w:w="6003" w:type="dxa"/>
            <w:vMerge w:val="continue"/>
            <w:tcBorders>
              <w:left w:val="single" w:color="auto" w:sz="6" w:space="0"/>
              <w:right w:val="single" w:color="auto" w:sz="6" w:space="0"/>
            </w:tcBorders>
            <w:vAlign w:val="center"/>
          </w:tcPr>
          <w:p w14:paraId="31D575DE">
            <w:pPr>
              <w:numPr>
                <w:ilvl w:val="0"/>
                <w:numId w:val="0"/>
              </w:numPr>
              <w:spacing w:line="380" w:lineRule="exact"/>
              <w:jc w:val="left"/>
              <w:rPr>
                <w:rFonts w:hint="eastAsia" w:ascii="宋体" w:hAnsi="宋体" w:eastAsia="宋体" w:cs="宋体"/>
                <w:sz w:val="24"/>
                <w:highlight w:val="none"/>
              </w:rPr>
            </w:pPr>
          </w:p>
        </w:tc>
        <w:tc>
          <w:tcPr>
            <w:tcW w:w="648" w:type="dxa"/>
            <w:tcBorders>
              <w:top w:val="single" w:color="auto" w:sz="6" w:space="0"/>
              <w:left w:val="single" w:color="auto" w:sz="6" w:space="0"/>
              <w:bottom w:val="single" w:color="auto" w:sz="6" w:space="0"/>
              <w:right w:val="single" w:color="auto" w:sz="8" w:space="0"/>
            </w:tcBorders>
            <w:vAlign w:val="center"/>
          </w:tcPr>
          <w:p w14:paraId="10C35FDF">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w:t>
            </w:r>
          </w:p>
        </w:tc>
      </w:tr>
      <w:tr w14:paraId="4E32F1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tcBorders>
              <w:left w:val="single" w:color="auto" w:sz="8" w:space="0"/>
              <w:right w:val="single" w:color="auto" w:sz="6" w:space="0"/>
            </w:tcBorders>
            <w:vAlign w:val="center"/>
          </w:tcPr>
          <w:p w14:paraId="041EB2B8">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bottom w:val="single" w:color="auto" w:sz="6" w:space="0"/>
              <w:right w:val="single" w:color="auto" w:sz="6" w:space="0"/>
            </w:tcBorders>
            <w:vAlign w:val="center"/>
          </w:tcPr>
          <w:p w14:paraId="31DF6117">
            <w:pPr>
              <w:spacing w:line="38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3.6</w:t>
            </w:r>
          </w:p>
        </w:tc>
        <w:tc>
          <w:tcPr>
            <w:tcW w:w="1274" w:type="dxa"/>
            <w:tcBorders>
              <w:top w:val="single" w:color="auto" w:sz="6" w:space="0"/>
              <w:left w:val="single" w:color="auto" w:sz="6" w:space="0"/>
              <w:bottom w:val="single" w:color="auto" w:sz="6" w:space="0"/>
              <w:right w:val="single" w:color="auto" w:sz="6" w:space="0"/>
            </w:tcBorders>
            <w:vAlign w:val="center"/>
          </w:tcPr>
          <w:p w14:paraId="7A2ED727">
            <w:pPr>
              <w:spacing w:line="400" w:lineRule="exact"/>
              <w:jc w:val="center"/>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公司荣誉</w:t>
            </w:r>
          </w:p>
        </w:tc>
        <w:tc>
          <w:tcPr>
            <w:tcW w:w="6003" w:type="dxa"/>
            <w:vMerge w:val="continue"/>
            <w:tcBorders>
              <w:left w:val="single" w:color="auto" w:sz="6" w:space="0"/>
              <w:bottom w:val="single" w:color="auto" w:sz="6" w:space="0"/>
              <w:right w:val="single" w:color="auto" w:sz="6" w:space="0"/>
            </w:tcBorders>
            <w:vAlign w:val="center"/>
          </w:tcPr>
          <w:p w14:paraId="4B2E764F">
            <w:pPr>
              <w:numPr>
                <w:ilvl w:val="0"/>
                <w:numId w:val="0"/>
              </w:numPr>
              <w:spacing w:line="380" w:lineRule="exact"/>
              <w:jc w:val="left"/>
              <w:rPr>
                <w:rFonts w:hint="eastAsia" w:ascii="宋体" w:hAnsi="宋体" w:eastAsia="宋体" w:cs="宋体"/>
                <w:bCs/>
                <w:color w:val="auto"/>
                <w:sz w:val="24"/>
                <w:highlight w:val="none"/>
                <w:lang w:val="en-US" w:eastAsia="zh-CN"/>
              </w:rPr>
            </w:pPr>
          </w:p>
        </w:tc>
        <w:tc>
          <w:tcPr>
            <w:tcW w:w="648" w:type="dxa"/>
            <w:tcBorders>
              <w:top w:val="single" w:color="auto" w:sz="6" w:space="0"/>
              <w:left w:val="single" w:color="auto" w:sz="6" w:space="0"/>
              <w:bottom w:val="single" w:color="auto" w:sz="6" w:space="0"/>
              <w:right w:val="single" w:color="auto" w:sz="8" w:space="0"/>
            </w:tcBorders>
            <w:vAlign w:val="center"/>
          </w:tcPr>
          <w:p w14:paraId="04A0EE4A">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w:t>
            </w:r>
          </w:p>
        </w:tc>
      </w:tr>
      <w:tr w14:paraId="6E48E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tcBorders>
              <w:left w:val="single" w:color="auto" w:sz="8" w:space="0"/>
              <w:right w:val="single" w:color="auto" w:sz="6" w:space="0"/>
            </w:tcBorders>
            <w:vAlign w:val="center"/>
          </w:tcPr>
          <w:p w14:paraId="7EBE71AE">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bottom w:val="single" w:color="auto" w:sz="6" w:space="0"/>
              <w:right w:val="single" w:color="auto" w:sz="6" w:space="0"/>
            </w:tcBorders>
            <w:vAlign w:val="center"/>
          </w:tcPr>
          <w:p w14:paraId="3696EECD">
            <w:pPr>
              <w:spacing w:line="38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3.7</w:t>
            </w:r>
          </w:p>
        </w:tc>
        <w:tc>
          <w:tcPr>
            <w:tcW w:w="1274" w:type="dxa"/>
            <w:tcBorders>
              <w:top w:val="single" w:color="auto" w:sz="6" w:space="0"/>
              <w:left w:val="single" w:color="auto" w:sz="6" w:space="0"/>
              <w:bottom w:val="single" w:color="auto" w:sz="6" w:space="0"/>
              <w:right w:val="single" w:color="auto" w:sz="6" w:space="0"/>
            </w:tcBorders>
            <w:vAlign w:val="center"/>
          </w:tcPr>
          <w:p w14:paraId="761E68E2">
            <w:pPr>
              <w:spacing w:line="400" w:lineRule="exact"/>
              <w:jc w:val="center"/>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纳税资质</w:t>
            </w:r>
          </w:p>
        </w:tc>
        <w:tc>
          <w:tcPr>
            <w:tcW w:w="6003" w:type="dxa"/>
            <w:tcBorders>
              <w:top w:val="single" w:color="auto" w:sz="6" w:space="0"/>
              <w:left w:val="single" w:color="auto" w:sz="6" w:space="0"/>
              <w:bottom w:val="single" w:color="auto" w:sz="6" w:space="0"/>
              <w:right w:val="single" w:color="auto" w:sz="6" w:space="0"/>
            </w:tcBorders>
            <w:vAlign w:val="center"/>
          </w:tcPr>
          <w:p w14:paraId="04C82135">
            <w:pPr>
              <w:numPr>
                <w:ilvl w:val="0"/>
                <w:numId w:val="0"/>
              </w:numPr>
              <w:spacing w:line="380" w:lineRule="exact"/>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提供2022-2024年度纳税证明均为A级得6分（</w:t>
            </w:r>
            <w:r>
              <w:rPr>
                <w:rFonts w:hint="eastAsia" w:ascii="宋体" w:hAnsi="宋体" w:eastAsia="宋体" w:cs="宋体"/>
                <w:kern w:val="0"/>
                <w:sz w:val="24"/>
                <w:highlight w:val="none"/>
              </w:rPr>
              <w:t>原件扫描件上传电子标书为准</w:t>
            </w:r>
            <w:r>
              <w:rPr>
                <w:rFonts w:hint="eastAsia" w:ascii="宋体" w:hAnsi="宋体" w:eastAsia="宋体" w:cs="宋体"/>
                <w:bCs/>
                <w:color w:val="auto"/>
                <w:sz w:val="24"/>
                <w:highlight w:val="none"/>
                <w:lang w:val="en-US" w:eastAsia="zh-CN"/>
              </w:rPr>
              <w:t>）</w:t>
            </w:r>
          </w:p>
        </w:tc>
        <w:tc>
          <w:tcPr>
            <w:tcW w:w="648" w:type="dxa"/>
            <w:tcBorders>
              <w:top w:val="single" w:color="auto" w:sz="6" w:space="0"/>
              <w:left w:val="single" w:color="auto" w:sz="6" w:space="0"/>
              <w:bottom w:val="single" w:color="auto" w:sz="6" w:space="0"/>
              <w:right w:val="single" w:color="auto" w:sz="8" w:space="0"/>
            </w:tcBorders>
            <w:vAlign w:val="center"/>
          </w:tcPr>
          <w:p w14:paraId="5EB8F290">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w:t>
            </w:r>
          </w:p>
        </w:tc>
      </w:tr>
      <w:tr w14:paraId="00B6DA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43" w:type="dxa"/>
            <w:tcBorders>
              <w:left w:val="single" w:color="auto" w:sz="8" w:space="0"/>
              <w:right w:val="single" w:color="auto" w:sz="6" w:space="0"/>
            </w:tcBorders>
            <w:vAlign w:val="center"/>
          </w:tcPr>
          <w:p w14:paraId="40E99CE3">
            <w:pPr>
              <w:spacing w:line="400" w:lineRule="exact"/>
              <w:jc w:val="center"/>
              <w:rPr>
                <w:rFonts w:hint="eastAsia" w:ascii="宋体" w:hAnsi="宋体" w:eastAsia="宋体" w:cs="宋体"/>
                <w:bCs/>
                <w:color w:val="000000"/>
                <w:sz w:val="24"/>
                <w:highlight w:val="none"/>
              </w:rPr>
            </w:pPr>
          </w:p>
        </w:tc>
        <w:tc>
          <w:tcPr>
            <w:tcW w:w="757" w:type="dxa"/>
            <w:tcBorders>
              <w:top w:val="single" w:color="auto" w:sz="6" w:space="0"/>
              <w:left w:val="single" w:color="auto" w:sz="6" w:space="0"/>
              <w:bottom w:val="single" w:color="auto" w:sz="6" w:space="0"/>
              <w:right w:val="single" w:color="auto" w:sz="6" w:space="0"/>
            </w:tcBorders>
            <w:vAlign w:val="center"/>
          </w:tcPr>
          <w:p w14:paraId="5DC5670F">
            <w:pPr>
              <w:spacing w:line="380" w:lineRule="exact"/>
              <w:jc w:val="left"/>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3.8</w:t>
            </w:r>
          </w:p>
        </w:tc>
        <w:tc>
          <w:tcPr>
            <w:tcW w:w="1274" w:type="dxa"/>
            <w:tcBorders>
              <w:top w:val="single" w:color="auto" w:sz="6" w:space="0"/>
              <w:left w:val="single" w:color="auto" w:sz="6" w:space="0"/>
              <w:bottom w:val="single" w:color="auto" w:sz="6" w:space="0"/>
              <w:right w:val="single" w:color="auto" w:sz="6" w:space="0"/>
            </w:tcBorders>
            <w:vAlign w:val="center"/>
          </w:tcPr>
          <w:p w14:paraId="575F370F">
            <w:pPr>
              <w:spacing w:line="400" w:lineRule="exact"/>
              <w:jc w:val="center"/>
              <w:rPr>
                <w:rFonts w:hint="eastAsia"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设备投入</w:t>
            </w:r>
          </w:p>
        </w:tc>
        <w:tc>
          <w:tcPr>
            <w:tcW w:w="6003" w:type="dxa"/>
            <w:tcBorders>
              <w:top w:val="single" w:color="auto" w:sz="6" w:space="0"/>
              <w:left w:val="single" w:color="auto" w:sz="6" w:space="0"/>
              <w:bottom w:val="single" w:color="auto" w:sz="6" w:space="0"/>
              <w:right w:val="single" w:color="auto" w:sz="6" w:space="0"/>
            </w:tcBorders>
            <w:vAlign w:val="center"/>
          </w:tcPr>
          <w:p w14:paraId="13D7095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扫地机1台、洗地机1台、吸尘器（商用大功率）不少于1台、消毒设备等。设备投入质量好、投入大最高得4分</w:t>
            </w:r>
          </w:p>
          <w:p w14:paraId="2310615A">
            <w:pPr>
              <w:numPr>
                <w:ilvl w:val="0"/>
                <w:numId w:val="0"/>
              </w:numPr>
              <w:spacing w:line="380" w:lineRule="exact"/>
              <w:jc w:val="left"/>
              <w:rPr>
                <w:rFonts w:hint="eastAsia" w:ascii="宋体" w:hAnsi="宋体" w:eastAsia="宋体" w:cs="宋体"/>
                <w:bCs/>
                <w:color w:val="auto"/>
                <w:sz w:val="24"/>
                <w:highlight w:val="none"/>
                <w:lang w:val="en-US" w:eastAsia="zh-CN"/>
              </w:rPr>
            </w:pPr>
            <w:r>
              <w:rPr>
                <w:rFonts w:hint="eastAsia" w:ascii="宋体" w:hAnsi="宋体" w:eastAsia="宋体" w:cs="宋体"/>
                <w:b/>
                <w:bCs/>
                <w:color w:val="auto"/>
                <w:kern w:val="0"/>
                <w:sz w:val="24"/>
                <w:szCs w:val="24"/>
                <w:highlight w:val="none"/>
                <w:lang w:val="en-US" w:eastAsia="zh-CN"/>
              </w:rPr>
              <w:t>注</w:t>
            </w:r>
            <w:r>
              <w:rPr>
                <w:rFonts w:hint="eastAsia" w:ascii="宋体" w:hAnsi="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提供拟投入设备的</w:t>
            </w:r>
            <w:r>
              <w:rPr>
                <w:rFonts w:hint="eastAsia" w:ascii="宋体" w:hAnsi="宋体" w:cs="宋体"/>
                <w:b/>
                <w:bCs/>
                <w:color w:val="auto"/>
                <w:kern w:val="0"/>
                <w:sz w:val="24"/>
                <w:szCs w:val="24"/>
                <w:highlight w:val="none"/>
                <w:lang w:val="en-US" w:eastAsia="zh-CN"/>
              </w:rPr>
              <w:t>相关证明材料；如：</w:t>
            </w:r>
            <w:r>
              <w:rPr>
                <w:rFonts w:hint="eastAsia" w:ascii="宋体" w:hAnsi="宋体" w:eastAsia="宋体" w:cs="宋体"/>
                <w:b/>
                <w:bCs/>
                <w:color w:val="auto"/>
                <w:kern w:val="0"/>
                <w:sz w:val="24"/>
                <w:szCs w:val="24"/>
                <w:highlight w:val="none"/>
                <w:lang w:val="en-US" w:eastAsia="zh-CN"/>
              </w:rPr>
              <w:t>图片、价格</w:t>
            </w:r>
            <w:r>
              <w:rPr>
                <w:rFonts w:hint="eastAsia" w:ascii="宋体" w:hAnsi="宋体" w:cs="宋体"/>
                <w:b/>
                <w:bCs/>
                <w:color w:val="auto"/>
                <w:kern w:val="0"/>
                <w:sz w:val="24"/>
                <w:szCs w:val="24"/>
                <w:highlight w:val="none"/>
                <w:lang w:val="en-US" w:eastAsia="zh-CN"/>
              </w:rPr>
              <w:t>等</w:t>
            </w:r>
            <w:r>
              <w:rPr>
                <w:rFonts w:hint="eastAsia" w:ascii="宋体" w:hAnsi="宋体" w:eastAsia="宋体" w:cs="宋体"/>
                <w:b/>
                <w:bCs/>
                <w:color w:val="auto"/>
                <w:kern w:val="0"/>
                <w:sz w:val="24"/>
                <w:szCs w:val="24"/>
                <w:highlight w:val="none"/>
                <w:lang w:val="en-US" w:eastAsia="zh-CN"/>
              </w:rPr>
              <w:t>，扫描件上传至电子</w:t>
            </w:r>
            <w:r>
              <w:rPr>
                <w:rFonts w:hint="eastAsia" w:ascii="宋体" w:hAnsi="宋体" w:cs="宋体"/>
                <w:b/>
                <w:bCs/>
                <w:color w:val="auto"/>
                <w:kern w:val="0"/>
                <w:sz w:val="24"/>
                <w:szCs w:val="24"/>
                <w:highlight w:val="none"/>
                <w:lang w:val="en-US" w:eastAsia="zh-CN"/>
              </w:rPr>
              <w:t>标书为准</w:t>
            </w:r>
          </w:p>
        </w:tc>
        <w:tc>
          <w:tcPr>
            <w:tcW w:w="648" w:type="dxa"/>
            <w:tcBorders>
              <w:top w:val="single" w:color="auto" w:sz="6" w:space="0"/>
              <w:left w:val="single" w:color="auto" w:sz="6" w:space="0"/>
              <w:bottom w:val="single" w:color="auto" w:sz="6" w:space="0"/>
              <w:right w:val="single" w:color="auto" w:sz="8" w:space="0"/>
            </w:tcBorders>
            <w:vAlign w:val="center"/>
          </w:tcPr>
          <w:p w14:paraId="1B3EE38D">
            <w:pPr>
              <w:spacing w:line="360" w:lineRule="auto"/>
              <w:jc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w:t>
            </w:r>
          </w:p>
        </w:tc>
      </w:tr>
      <w:tr w14:paraId="60312F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9177" w:type="dxa"/>
            <w:gridSpan w:val="4"/>
            <w:tcBorders>
              <w:left w:val="single" w:color="auto" w:sz="8" w:space="0"/>
              <w:right w:val="single" w:color="auto" w:sz="6" w:space="0"/>
            </w:tcBorders>
            <w:vAlign w:val="center"/>
          </w:tcPr>
          <w:p w14:paraId="12737BF7">
            <w:pPr>
              <w:spacing w:line="380" w:lineRule="exact"/>
              <w:jc w:val="center"/>
              <w:rPr>
                <w:rFonts w:hint="eastAsia" w:ascii="宋体" w:hAnsi="宋体" w:eastAsia="宋体" w:cs="宋体"/>
                <w:bCs/>
                <w:color w:val="auto"/>
                <w:sz w:val="24"/>
                <w:highlight w:val="none"/>
                <w:lang w:eastAsia="zh-CN"/>
              </w:rPr>
            </w:pPr>
            <w:r>
              <w:rPr>
                <w:rFonts w:hint="eastAsia" w:ascii="宋体" w:hAnsi="宋体" w:eastAsia="宋体" w:cs="宋体"/>
                <w:b/>
                <w:bCs w:val="0"/>
                <w:color w:val="auto"/>
                <w:sz w:val="24"/>
                <w:highlight w:val="none"/>
                <w:lang w:eastAsia="zh-CN"/>
              </w:rPr>
              <w:t>备注：</w:t>
            </w:r>
            <w:r>
              <w:rPr>
                <w:rFonts w:hint="eastAsia" w:ascii="宋体" w:hAnsi="宋体" w:eastAsia="宋体" w:cs="宋体"/>
                <w:b/>
                <w:bCs w:val="0"/>
                <w:color w:val="auto"/>
                <w:sz w:val="24"/>
                <w:highlight w:val="none"/>
              </w:rPr>
              <w:t>投标文件中提供拟派驻人员的人员表，并提供人员相应证书。</w:t>
            </w:r>
          </w:p>
        </w:tc>
        <w:tc>
          <w:tcPr>
            <w:tcW w:w="648" w:type="dxa"/>
            <w:tcBorders>
              <w:top w:val="single" w:color="auto" w:sz="6" w:space="0"/>
              <w:left w:val="single" w:color="auto" w:sz="6" w:space="0"/>
              <w:right w:val="single" w:color="auto" w:sz="8" w:space="0"/>
            </w:tcBorders>
            <w:vAlign w:val="center"/>
          </w:tcPr>
          <w:p w14:paraId="27CFE024">
            <w:pPr>
              <w:spacing w:line="360" w:lineRule="auto"/>
              <w:rPr>
                <w:rFonts w:hint="eastAsia" w:ascii="宋体" w:hAnsi="宋体" w:eastAsia="宋体" w:cs="宋体"/>
                <w:bCs/>
                <w:sz w:val="24"/>
                <w:highlight w:val="none"/>
                <w:lang w:eastAsia="zh-CN"/>
              </w:rPr>
            </w:pPr>
          </w:p>
        </w:tc>
      </w:tr>
    </w:tbl>
    <w:p w14:paraId="4F6C3A99">
      <w:pPr>
        <w:spacing w:line="420" w:lineRule="exact"/>
        <w:jc w:val="center"/>
        <w:rPr>
          <w:rFonts w:hint="eastAsia" w:ascii="宋体" w:hAnsi="宋体" w:eastAsia="宋体" w:cs="宋体"/>
          <w:b/>
          <w:sz w:val="24"/>
          <w:szCs w:val="24"/>
          <w:highlight w:val="none"/>
        </w:rPr>
      </w:pPr>
    </w:p>
    <w:p w14:paraId="611EFA95">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磋商结束后，成交结果将在江苏省政府采购网或者淮安市政府采购网上进行公告。磋商供应商对采购过程和成交结果有质疑的必须在相关法律法规规定的时间内提出。</w:t>
      </w:r>
    </w:p>
    <w:p w14:paraId="3CC73BDC">
      <w:pPr>
        <w:spacing w:line="420" w:lineRule="exact"/>
        <w:ind w:firstLine="472"/>
        <w:rPr>
          <w:rFonts w:hint="eastAsia" w:ascii="宋体" w:hAnsi="宋体" w:eastAsia="宋体" w:cs="宋体"/>
          <w:b/>
          <w:sz w:val="24"/>
          <w:szCs w:val="24"/>
          <w:highlight w:val="none"/>
        </w:rPr>
      </w:pPr>
      <w:r>
        <w:rPr>
          <w:rFonts w:hint="eastAsia" w:ascii="宋体" w:hAnsi="宋体" w:eastAsia="宋体" w:cs="宋体"/>
          <w:b/>
          <w:sz w:val="24"/>
          <w:szCs w:val="24"/>
          <w:highlight w:val="none"/>
        </w:rPr>
        <w:t>成交候选人在公示期间，如经查实从参加该成交项目之日起计算所参加的政府采购活动前三年内，在经营活动中有行贿犯罪记录的，采购人将取消其成交候选人资格。</w:t>
      </w:r>
    </w:p>
    <w:p w14:paraId="44C44611">
      <w:pPr>
        <w:spacing w:line="420" w:lineRule="exact"/>
        <w:ind w:right="-63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磋商过程保密</w:t>
      </w:r>
    </w:p>
    <w:p w14:paraId="772BF728">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在宣布确定成交之前，凡属于审查、澄清、磋商、比较响应文件和确定成交意向等有关信息，均不得泄露给任何与磋商工作无关的人员。</w:t>
      </w:r>
    </w:p>
    <w:p w14:paraId="46E71E72">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磋商供应商不得探听上述信息，不得以任何行为影响磋商过程，否则将被取消成交资格。</w:t>
      </w:r>
    </w:p>
    <w:p w14:paraId="676016F9">
      <w:pPr>
        <w:spacing w:line="4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在磋商期间，采购人将指定联络员与磋商供应商进行联络。</w:t>
      </w:r>
    </w:p>
    <w:p w14:paraId="681EBA3A">
      <w:pPr>
        <w:pStyle w:val="20"/>
        <w:rPr>
          <w:rFonts w:hint="eastAsia" w:ascii="宋体" w:hAnsi="宋体" w:eastAsia="宋体" w:cs="宋体"/>
          <w:highlight w:val="none"/>
        </w:rPr>
        <w:sectPr>
          <w:footerReference r:id="rId3" w:type="default"/>
          <w:pgSz w:w="11906" w:h="16838" w:orient="landscape"/>
          <w:pgMar w:top="1440" w:right="1474" w:bottom="1440" w:left="1474" w:header="851" w:footer="992" w:gutter="0"/>
          <w:pgNumType w:fmt="decimal" w:start="1"/>
          <w:cols w:space="720" w:num="1"/>
        </w:sectPr>
      </w:pPr>
    </w:p>
    <w:p w14:paraId="6C03AF4B">
      <w:pPr>
        <w:pBdr>
          <w:top w:val="none" w:color="000000" w:sz="0" w:space="0"/>
          <w:left w:val="none" w:color="000000" w:sz="0" w:space="0"/>
          <w:bottom w:val="none" w:color="000000" w:sz="0" w:space="0"/>
          <w:right w:val="none" w:color="000000" w:sz="0" w:space="0"/>
        </w:pBdr>
        <w:spacing w:before="0" w:after="0" w:line="85" w:lineRule="atLeast"/>
        <w:ind w:right="0"/>
        <w:jc w:val="both"/>
        <w:rPr>
          <w:rFonts w:hint="eastAsia" w:ascii="宋体" w:hAnsi="宋体" w:eastAsia="宋体" w:cs="宋体"/>
          <w:b/>
          <w:color w:val="000000"/>
          <w:sz w:val="36"/>
          <w:highlight w:val="none"/>
        </w:rPr>
      </w:pPr>
    </w:p>
    <w:p w14:paraId="34D4D03B">
      <w:pPr>
        <w:pBdr>
          <w:top w:val="none" w:color="000000" w:sz="0" w:space="0"/>
          <w:left w:val="none" w:color="000000" w:sz="0" w:space="0"/>
          <w:bottom w:val="none" w:color="000000" w:sz="0" w:space="0"/>
          <w:right w:val="none" w:color="000000" w:sz="0" w:space="0"/>
        </w:pBdr>
        <w:spacing w:before="0" w:after="0" w:line="85" w:lineRule="atLeast"/>
        <w:ind w:left="0" w:right="0" w:firstLine="723"/>
        <w:jc w:val="cente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第四章  合同格式及条款</w:t>
      </w:r>
    </w:p>
    <w:p w14:paraId="43C5B1BF">
      <w:pPr>
        <w:pBdr>
          <w:top w:val="none" w:color="000000" w:sz="0" w:space="0"/>
          <w:left w:val="none" w:color="000000" w:sz="0" w:space="0"/>
          <w:bottom w:val="none" w:color="000000" w:sz="0" w:space="0"/>
          <w:right w:val="none" w:color="000000" w:sz="0" w:space="0"/>
        </w:pBdr>
        <w:spacing w:before="0" w:after="0" w:line="360" w:lineRule="auto"/>
        <w:ind w:left="0" w:right="0" w:firstLine="723"/>
        <w:jc w:val="center"/>
        <w:rPr>
          <w:rFonts w:hint="eastAsia" w:ascii="宋体" w:hAnsi="宋体" w:eastAsia="宋体" w:cs="宋体"/>
          <w:b w:val="0"/>
          <w:bCs w:val="0"/>
          <w:sz w:val="24"/>
          <w:szCs w:val="24"/>
          <w:highlight w:val="none"/>
          <w:u w:val="none"/>
          <w:lang w:val="en-US" w:eastAsia="zh-CN" w:bidi="ar-SA"/>
        </w:rPr>
      </w:pPr>
      <w:r>
        <w:rPr>
          <w:rFonts w:hint="eastAsia" w:ascii="宋体" w:hAnsi="宋体" w:eastAsia="宋体" w:cs="宋体"/>
          <w:b w:val="0"/>
          <w:bCs w:val="0"/>
          <w:sz w:val="24"/>
          <w:szCs w:val="24"/>
          <w:highlight w:val="none"/>
          <w:u w:val="none"/>
          <w:lang w:val="en-US" w:eastAsia="zh-CN" w:bidi="ar-SA"/>
        </w:rPr>
        <w:t>注:以下为采购人提出成交后签订本项目合同的条款，供应商必须实质性响应，成交供应商不得提出实质性的修改。</w:t>
      </w:r>
    </w:p>
    <w:p w14:paraId="17BB45CB">
      <w:pPr>
        <w:pBdr>
          <w:top w:val="none" w:color="000000" w:sz="0" w:space="0"/>
          <w:left w:val="none" w:color="000000" w:sz="0" w:space="0"/>
          <w:bottom w:val="none" w:color="000000" w:sz="0" w:space="0"/>
          <w:right w:val="none" w:color="000000" w:sz="0" w:space="0"/>
        </w:pBdr>
        <w:spacing w:before="0" w:after="0" w:line="85" w:lineRule="atLeast"/>
        <w:ind w:left="0" w:right="0" w:firstLine="723"/>
        <w:jc w:val="center"/>
        <w:rPr>
          <w:rFonts w:hint="eastAsia" w:ascii="宋体" w:hAnsi="宋体" w:eastAsia="宋体" w:cs="宋体"/>
          <w:b/>
          <w:color w:val="000000"/>
          <w:sz w:val="36"/>
          <w:highlight w:val="none"/>
        </w:rPr>
      </w:pPr>
    </w:p>
    <w:p w14:paraId="3DBE3F64">
      <w:pPr>
        <w:pBdr>
          <w:top w:val="none" w:color="000000" w:sz="0" w:space="0"/>
          <w:left w:val="none" w:color="000000" w:sz="0" w:space="0"/>
          <w:bottom w:val="none" w:color="000000" w:sz="0" w:space="0"/>
          <w:right w:val="none" w:color="000000" w:sz="0" w:space="0"/>
        </w:pBdr>
        <w:spacing w:before="0" w:after="0" w:line="85" w:lineRule="atLeast"/>
        <w:ind w:left="0" w:right="0" w:firstLine="723"/>
        <w:jc w:val="center"/>
        <w:rPr>
          <w:rFonts w:hint="eastAsia" w:ascii="宋体" w:hAnsi="宋体" w:eastAsia="宋体" w:cs="宋体"/>
          <w:b w:val="0"/>
          <w:bCs w:val="0"/>
          <w:sz w:val="24"/>
          <w:szCs w:val="24"/>
          <w:highlight w:val="none"/>
          <w:u w:val="none"/>
          <w:lang w:val="en-US" w:eastAsia="zh-CN" w:bidi="ar-SA"/>
        </w:rPr>
      </w:pPr>
      <w:r>
        <w:rPr>
          <w:rFonts w:hint="eastAsia" w:ascii="宋体" w:hAnsi="宋体" w:eastAsia="宋体" w:cs="宋体"/>
          <w:b w:val="0"/>
          <w:bCs w:val="0"/>
          <w:sz w:val="24"/>
          <w:szCs w:val="24"/>
          <w:highlight w:val="none"/>
          <w:u w:val="none"/>
          <w:lang w:val="en-US" w:eastAsia="zh-CN" w:bidi="ar-SA"/>
        </w:rPr>
        <w:t>一、合同格式</w:t>
      </w:r>
    </w:p>
    <w:p w14:paraId="51604DAA">
      <w:pPr>
        <w:pBdr>
          <w:top w:val="none" w:color="000000" w:sz="0" w:space="0"/>
          <w:left w:val="none" w:color="000000" w:sz="0" w:space="0"/>
          <w:bottom w:val="none" w:color="000000" w:sz="0" w:space="0"/>
          <w:right w:val="none" w:color="000000" w:sz="0" w:space="0"/>
        </w:pBdr>
        <w:spacing w:before="0" w:after="0" w:line="85" w:lineRule="atLeast"/>
        <w:ind w:left="0" w:right="0" w:firstLine="723"/>
        <w:jc w:val="center"/>
        <w:rPr>
          <w:rFonts w:hint="eastAsia" w:ascii="宋体" w:hAnsi="宋体" w:eastAsia="宋体" w:cs="宋体"/>
          <w:b/>
          <w:color w:val="000000"/>
          <w:sz w:val="36"/>
          <w:highlight w:val="none"/>
        </w:rPr>
      </w:pPr>
    </w:p>
    <w:p w14:paraId="0872E385">
      <w:pPr>
        <w:pStyle w:val="22"/>
        <w:keepNext w:val="0"/>
        <w:keepLines w:val="0"/>
        <w:pageBreakBefore w:val="0"/>
        <w:spacing w:line="520" w:lineRule="exact"/>
        <w:outlineLvl w:val="9"/>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u w:val="single"/>
        </w:rPr>
        <w:t>江苏省盱眙中等专业学校</w:t>
      </w:r>
      <w:r>
        <w:rPr>
          <w:rFonts w:hint="eastAsia" w:ascii="宋体" w:hAnsi="宋体" w:eastAsia="宋体" w:cs="宋体"/>
          <w:b/>
          <w:bCs/>
          <w:sz w:val="24"/>
          <w:szCs w:val="24"/>
          <w:highlight w:val="none"/>
          <w:u w:val="single"/>
          <w:lang w:val="en-US" w:eastAsia="zh-CN"/>
        </w:rPr>
        <w:t xml:space="preserve">  </w:t>
      </w:r>
    </w:p>
    <w:p w14:paraId="6C3EA1AE">
      <w:pPr>
        <w:pStyle w:val="22"/>
        <w:keepNext w:val="0"/>
        <w:keepLines w:val="0"/>
        <w:pageBreakBefore w:val="0"/>
        <w:spacing w:line="520" w:lineRule="exact"/>
        <w:outlineLvl w:val="9"/>
        <w:rPr>
          <w:rFonts w:hint="eastAsia"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none"/>
          <w:u w:val="single"/>
          <w:lang w:val="en-US" w:eastAsia="zh-CN"/>
        </w:rPr>
        <w:t xml:space="preserve">            </w:t>
      </w:r>
    </w:p>
    <w:p w14:paraId="2509C624">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b/>
          <w:bCs/>
          <w:sz w:val="24"/>
          <w:szCs w:val="24"/>
          <w:highlight w:val="none"/>
          <w:u w:val="single"/>
        </w:rPr>
        <w:t xml:space="preserve"> </w:t>
      </w:r>
      <w:r>
        <w:rPr>
          <w:rFonts w:hint="eastAsia" w:hAnsi="宋体" w:cs="宋体"/>
          <w:b/>
          <w:bCs/>
          <w:sz w:val="24"/>
          <w:szCs w:val="24"/>
          <w:highlight w:val="none"/>
          <w:u w:val="single"/>
          <w:lang w:val="en-US" w:eastAsia="zh-CN"/>
        </w:rPr>
        <w:t xml:space="preserve">      </w:t>
      </w:r>
      <w:r>
        <w:rPr>
          <w:rFonts w:hint="eastAsia" w:ascii="宋体" w:hAnsi="宋体" w:eastAsia="宋体" w:cs="宋体"/>
          <w:b w:val="0"/>
          <w:bCs w:val="0"/>
          <w:sz w:val="24"/>
          <w:szCs w:val="24"/>
          <w:highlight w:val="none"/>
          <w:u w:val="none"/>
        </w:rPr>
        <w:t>经</w:t>
      </w:r>
      <w:r>
        <w:rPr>
          <w:rFonts w:hint="eastAsia" w:ascii="宋体" w:hAnsi="宋体" w:eastAsia="宋体" w:cs="宋体"/>
          <w:b w:val="0"/>
          <w:bCs w:val="0"/>
          <w:sz w:val="24"/>
          <w:szCs w:val="24"/>
          <w:highlight w:val="none"/>
          <w:u w:val="none"/>
          <w:lang w:eastAsia="zh-CN"/>
        </w:rPr>
        <w:t>公开招标</w:t>
      </w:r>
      <w:r>
        <w:rPr>
          <w:rFonts w:hint="eastAsia" w:ascii="宋体" w:hAnsi="宋体" w:eastAsia="宋体" w:cs="宋体"/>
          <w:b w:val="0"/>
          <w:bCs w:val="0"/>
          <w:sz w:val="24"/>
          <w:szCs w:val="24"/>
          <w:highlight w:val="none"/>
          <w:u w:val="none"/>
        </w:rPr>
        <w:t>采购结果</w:t>
      </w:r>
      <w:r>
        <w:rPr>
          <w:rFonts w:hint="eastAsia" w:ascii="宋体" w:hAnsi="宋体" w:eastAsia="宋体" w:cs="宋体"/>
          <w:sz w:val="24"/>
          <w:szCs w:val="24"/>
          <w:highlight w:val="none"/>
        </w:rPr>
        <w:t>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文件的要求，经协商一致，达成如下协议：</w:t>
      </w:r>
    </w:p>
    <w:p w14:paraId="68C975DD">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第一条  合同期限</w:t>
      </w:r>
    </w:p>
    <w:p w14:paraId="3BD1F3C5">
      <w:pPr>
        <w:pStyle w:val="22"/>
        <w:keepNext w:val="0"/>
        <w:keepLines w:val="0"/>
        <w:pageBreakBefore w:val="0"/>
        <w:spacing w:line="520" w:lineRule="exact"/>
        <w:ind w:firstLine="480" w:firstLineChars="20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实施期限：服务期3</w:t>
      </w:r>
      <w:r>
        <w:rPr>
          <w:rFonts w:hint="eastAsia" w:ascii="宋体" w:hAnsi="宋体" w:eastAsia="宋体" w:cs="宋体"/>
          <w:b w:val="0"/>
          <w:bCs w:val="0"/>
          <w:color w:val="auto"/>
          <w:sz w:val="24"/>
          <w:szCs w:val="24"/>
          <w:highlight w:val="none"/>
        </w:rPr>
        <w:t>年</w:t>
      </w:r>
    </w:p>
    <w:p w14:paraId="0B9B73DF">
      <w:pPr>
        <w:pStyle w:val="22"/>
        <w:keepNext w:val="0"/>
        <w:keepLines w:val="0"/>
        <w:pageBreakBefore w:val="0"/>
        <w:spacing w:line="52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自</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日起至</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日止。</w:t>
      </w:r>
    </w:p>
    <w:p w14:paraId="6D2FE97B">
      <w:pPr>
        <w:pStyle w:val="8"/>
        <w:spacing w:line="48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第二条 服务内容和条件</w:t>
      </w:r>
    </w:p>
    <w:p w14:paraId="45529C06">
      <w:pPr>
        <w:pStyle w:val="16"/>
        <w:keepNext w:val="0"/>
        <w:keepLines w:val="0"/>
        <w:pageBreakBefore w:val="0"/>
        <w:numPr>
          <w:ilvl w:val="0"/>
          <w:numId w:val="0"/>
        </w:numPr>
        <w:kinsoku/>
        <w:wordWrap/>
        <w:overflowPunct/>
        <w:topLinePunct w:val="0"/>
        <w:bidi w:val="0"/>
        <w:spacing w:line="44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1.卫生保洁 </w:t>
      </w:r>
    </w:p>
    <w:p w14:paraId="426FA3BA">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①校园公共区域保洁包含食堂周边、宿舍周边②综合楼公共区域保洁包含五楼办公区域；③会议室、校史馆、多功能报告厅、综合楼四楼机房保洁；③创业一条街、校企合作园卫生保洁；④所有公共卫生间的保洁；⑤体育运动区（体育看台、操场、篮球场、排球场、羽毛球场、乒乓球场地等）的保洁；⑥所有室内外下水、雨污水井疏通、堵塞开挖维修（食堂除外）。⑦楼顶垃圾、杂草清理，下水疏通；⑧垃圾清运，做到垃圾日产日清；⑨其他临时性清理保洁任务、饲养天鹅等；⑩重大活动的突击服务；⑪防疫消杀和消毒灭害。</w:t>
      </w:r>
    </w:p>
    <w:p w14:paraId="60AFF68C">
      <w:pPr>
        <w:pStyle w:val="16"/>
        <w:keepNext w:val="0"/>
        <w:keepLines w:val="0"/>
        <w:pageBreakBefore w:val="0"/>
        <w:numPr>
          <w:ilvl w:val="0"/>
          <w:numId w:val="0"/>
        </w:numPr>
        <w:kinsoku/>
        <w:wordWrap/>
        <w:overflowPunct/>
        <w:topLinePunct w:val="0"/>
        <w:bidi w:val="0"/>
        <w:spacing w:line="440" w:lineRule="exact"/>
        <w:ind w:left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2.校园零星工程维修：</w:t>
      </w:r>
    </w:p>
    <w:p w14:paraId="299C06C3">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①校园地面地砖出现损坏要及时更换到位；②校园建筑墙体2米及以下（含所有楼层内墙2米及以下的墙体）的出现损坏要及时维修更换到位；③下水盖板、窨井盖等更换维修；④其他木工、泥瓦工类零星维修。</w:t>
      </w:r>
    </w:p>
    <w:p w14:paraId="0C08A09E">
      <w:pPr>
        <w:pStyle w:val="16"/>
        <w:keepNext w:val="0"/>
        <w:keepLines w:val="0"/>
        <w:pageBreakBefore w:val="0"/>
        <w:numPr>
          <w:ilvl w:val="0"/>
          <w:numId w:val="0"/>
        </w:numPr>
        <w:kinsoku/>
        <w:wordWrap/>
        <w:overflowPunct/>
        <w:topLinePunct w:val="0"/>
        <w:bidi w:val="0"/>
        <w:spacing w:line="44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3.校园区域绿化服务</w:t>
      </w:r>
    </w:p>
    <w:p w14:paraId="445F70AA">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校园整个区域（包含东门围墙外绿化带）的乔木、灌木、地被草坪、花坛花卉、设施维护、除草治虫、适时浇水、绿地保护、施肥、绿化维护产生的残枝败叶外运等。绿化管护期：3年</w:t>
      </w:r>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包含服务期内新增的绿化</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w:t>
      </w:r>
    </w:p>
    <w:p w14:paraId="5165589D">
      <w:pPr>
        <w:pStyle w:val="8"/>
        <w:spacing w:line="480" w:lineRule="exact"/>
        <w:ind w:left="-359" w:leftChars="-171" w:firstLine="825" w:firstLineChars="344"/>
        <w:rPr>
          <w:rFonts w:hint="eastAsia" w:ascii="宋体" w:hAnsi="宋体" w:eastAsia="宋体" w:cs="宋体"/>
          <w:b w:val="0"/>
          <w:bCs w:val="0"/>
          <w:sz w:val="24"/>
          <w:szCs w:val="24"/>
          <w:highlight w:val="none"/>
        </w:rPr>
      </w:pPr>
      <w:r>
        <w:rPr>
          <w:rFonts w:hint="eastAsia" w:ascii="宋体" w:hAnsi="宋体" w:eastAsia="宋体" w:cs="宋体"/>
          <w:b w:val="0"/>
          <w:bCs w:val="0"/>
          <w:kern w:val="2"/>
          <w:sz w:val="24"/>
          <w:szCs w:val="24"/>
          <w:highlight w:val="none"/>
          <w:lang w:val="en-US" w:eastAsia="zh-CN" w:bidi="ar-SA"/>
        </w:rPr>
        <w:t>本合同的采购服务内容和条件应与甲方要求的服务内容和条件一致，具体详见项目采购需求。</w:t>
      </w:r>
    </w:p>
    <w:p w14:paraId="2A884781">
      <w:pPr>
        <w:pStyle w:val="22"/>
        <w:keepNext w:val="0"/>
        <w:keepLines w:val="0"/>
        <w:pageBreakBefore w:val="0"/>
        <w:numPr>
          <w:ilvl w:val="0"/>
          <w:numId w:val="2"/>
        </w:numPr>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服务人员数量及要求</w:t>
      </w:r>
    </w:p>
    <w:tbl>
      <w:tblPr>
        <w:tblStyle w:val="14"/>
        <w:tblW w:w="9942"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593"/>
        <w:gridCol w:w="1195"/>
        <w:gridCol w:w="1287"/>
        <w:gridCol w:w="4553"/>
      </w:tblGrid>
      <w:tr w14:paraId="5119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128B3D4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部门职能</w:t>
            </w:r>
          </w:p>
        </w:tc>
        <w:tc>
          <w:tcPr>
            <w:tcW w:w="1593" w:type="dxa"/>
            <w:noWrap w:val="0"/>
            <w:vAlign w:val="center"/>
          </w:tcPr>
          <w:p w14:paraId="730AA2B9">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岗位</w:t>
            </w:r>
          </w:p>
        </w:tc>
        <w:tc>
          <w:tcPr>
            <w:tcW w:w="1195" w:type="dxa"/>
            <w:noWrap w:val="0"/>
            <w:vAlign w:val="center"/>
          </w:tcPr>
          <w:p w14:paraId="021F53B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同时在岗人数</w:t>
            </w:r>
          </w:p>
        </w:tc>
        <w:tc>
          <w:tcPr>
            <w:tcW w:w="1287" w:type="dxa"/>
            <w:noWrap w:val="0"/>
            <w:vAlign w:val="center"/>
          </w:tcPr>
          <w:p w14:paraId="2E04FA1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岗位所需总人数</w:t>
            </w:r>
          </w:p>
        </w:tc>
        <w:tc>
          <w:tcPr>
            <w:tcW w:w="4553" w:type="dxa"/>
            <w:noWrap w:val="0"/>
            <w:vAlign w:val="center"/>
          </w:tcPr>
          <w:p w14:paraId="1855433C">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服务人员要求</w:t>
            </w:r>
          </w:p>
        </w:tc>
      </w:tr>
      <w:tr w14:paraId="0A42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noWrap w:val="0"/>
            <w:vAlign w:val="center"/>
          </w:tcPr>
          <w:p w14:paraId="4CB70E3F">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管理</w:t>
            </w:r>
          </w:p>
        </w:tc>
        <w:tc>
          <w:tcPr>
            <w:tcW w:w="1593" w:type="dxa"/>
            <w:noWrap w:val="0"/>
            <w:vAlign w:val="center"/>
          </w:tcPr>
          <w:p w14:paraId="1CA6E50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项目经理</w:t>
            </w:r>
          </w:p>
        </w:tc>
        <w:tc>
          <w:tcPr>
            <w:tcW w:w="1195" w:type="dxa"/>
            <w:noWrap w:val="0"/>
            <w:vAlign w:val="center"/>
          </w:tcPr>
          <w:p w14:paraId="5C4205DE">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87" w:type="dxa"/>
            <w:noWrap w:val="0"/>
            <w:vAlign w:val="center"/>
          </w:tcPr>
          <w:p w14:paraId="0119A294">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553" w:type="dxa"/>
            <w:noWrap w:val="0"/>
            <w:vAlign w:val="center"/>
          </w:tcPr>
          <w:p w14:paraId="1D42A95D">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拟派的项目经理，需要</w:t>
            </w:r>
            <w:r>
              <w:rPr>
                <w:rFonts w:hint="eastAsia" w:ascii="宋体" w:hAnsi="宋体" w:cs="宋体"/>
                <w:color w:val="auto"/>
                <w:kern w:val="2"/>
                <w:sz w:val="24"/>
                <w:szCs w:val="24"/>
                <w:highlight w:val="none"/>
                <w:vertAlign w:val="baseline"/>
                <w:lang w:val="en-US" w:eastAsia="zh-CN" w:bidi="ar-SA"/>
              </w:rPr>
              <w:t>持</w:t>
            </w:r>
            <w:r>
              <w:rPr>
                <w:rFonts w:hint="eastAsia" w:ascii="宋体" w:hAnsi="宋体" w:eastAsia="宋体" w:cs="宋体"/>
                <w:color w:val="auto"/>
                <w:kern w:val="2"/>
                <w:sz w:val="24"/>
                <w:szCs w:val="24"/>
                <w:highlight w:val="none"/>
                <w:vertAlign w:val="baseline"/>
                <w:lang w:val="en-US" w:eastAsia="zh-CN" w:bidi="ar-SA"/>
              </w:rPr>
              <w:t>有中级职称，责任心强，素质好，有丰富的项目管理经验和较强的组织协调能力。每周在岗时间不少于5天。</w:t>
            </w:r>
          </w:p>
        </w:tc>
      </w:tr>
      <w:tr w14:paraId="4CD6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14" w:type="dxa"/>
            <w:vMerge w:val="restart"/>
            <w:noWrap w:val="0"/>
            <w:vAlign w:val="center"/>
          </w:tcPr>
          <w:p w14:paraId="575ADE92">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保洁服务</w:t>
            </w:r>
          </w:p>
        </w:tc>
        <w:tc>
          <w:tcPr>
            <w:tcW w:w="1593" w:type="dxa"/>
            <w:noWrap w:val="0"/>
            <w:vAlign w:val="center"/>
          </w:tcPr>
          <w:p w14:paraId="3706BF05">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保洁员</w:t>
            </w:r>
          </w:p>
        </w:tc>
        <w:tc>
          <w:tcPr>
            <w:tcW w:w="1195" w:type="dxa"/>
            <w:noWrap w:val="0"/>
            <w:vAlign w:val="center"/>
          </w:tcPr>
          <w:p w14:paraId="49E9ADB2">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13</w:t>
            </w:r>
          </w:p>
        </w:tc>
        <w:tc>
          <w:tcPr>
            <w:tcW w:w="1287" w:type="dxa"/>
            <w:noWrap w:val="0"/>
            <w:vAlign w:val="center"/>
          </w:tcPr>
          <w:p w14:paraId="1B9CCBD7">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13</w:t>
            </w:r>
          </w:p>
        </w:tc>
        <w:tc>
          <w:tcPr>
            <w:tcW w:w="4553" w:type="dxa"/>
            <w:noWrap w:val="0"/>
            <w:vAlign w:val="top"/>
          </w:tcPr>
          <w:p w14:paraId="23217580">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有保洁服务相关工作经验。</w:t>
            </w:r>
          </w:p>
        </w:tc>
      </w:tr>
      <w:tr w14:paraId="4F6B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14" w:type="dxa"/>
            <w:vMerge w:val="continue"/>
            <w:noWrap w:val="0"/>
            <w:vAlign w:val="center"/>
          </w:tcPr>
          <w:p w14:paraId="0A0FE89D">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p>
        </w:tc>
        <w:tc>
          <w:tcPr>
            <w:tcW w:w="1593" w:type="dxa"/>
            <w:shd w:val="clear" w:color="auto" w:fill="auto"/>
            <w:noWrap w:val="0"/>
            <w:vAlign w:val="center"/>
          </w:tcPr>
          <w:p w14:paraId="13694A4C">
            <w:pPr>
              <w:keepNext w:val="0"/>
              <w:keepLines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保洁主管</w:t>
            </w:r>
          </w:p>
        </w:tc>
        <w:tc>
          <w:tcPr>
            <w:tcW w:w="1195" w:type="dxa"/>
            <w:shd w:val="clear" w:color="auto" w:fill="auto"/>
            <w:noWrap w:val="0"/>
            <w:vAlign w:val="center"/>
          </w:tcPr>
          <w:p w14:paraId="6EE352E1">
            <w:pPr>
              <w:keepNext w:val="0"/>
              <w:keepLines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87" w:type="dxa"/>
            <w:shd w:val="clear" w:color="auto" w:fill="auto"/>
            <w:noWrap w:val="0"/>
            <w:vAlign w:val="center"/>
          </w:tcPr>
          <w:p w14:paraId="1806A3DE">
            <w:pPr>
              <w:keepNext w:val="0"/>
              <w:keepLines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553" w:type="dxa"/>
            <w:noWrap w:val="0"/>
            <w:vAlign w:val="top"/>
          </w:tcPr>
          <w:p w14:paraId="3D7D19CE">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1996年1月1日以后出生，具有相关服务经验。</w:t>
            </w:r>
          </w:p>
        </w:tc>
      </w:tr>
      <w:tr w14:paraId="74BA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314" w:type="dxa"/>
            <w:noWrap w:val="0"/>
            <w:vAlign w:val="center"/>
          </w:tcPr>
          <w:p w14:paraId="39404822">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校园零星工程维修</w:t>
            </w:r>
          </w:p>
        </w:tc>
        <w:tc>
          <w:tcPr>
            <w:tcW w:w="1593" w:type="dxa"/>
            <w:noWrap w:val="0"/>
            <w:vAlign w:val="center"/>
          </w:tcPr>
          <w:p w14:paraId="4675A43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木工瓦工</w:t>
            </w:r>
          </w:p>
        </w:tc>
        <w:tc>
          <w:tcPr>
            <w:tcW w:w="1195" w:type="dxa"/>
            <w:noWrap w:val="0"/>
            <w:vAlign w:val="center"/>
          </w:tcPr>
          <w:p w14:paraId="5CCAAE8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87" w:type="dxa"/>
            <w:noWrap w:val="0"/>
            <w:vAlign w:val="center"/>
          </w:tcPr>
          <w:p w14:paraId="0869962E">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553" w:type="dxa"/>
            <w:noWrap w:val="0"/>
            <w:vAlign w:val="top"/>
          </w:tcPr>
          <w:p w14:paraId="3902B9B5">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有较为丰富的相关工作经验，维修由学校提供维修材料，物业自行配备工具实施。</w:t>
            </w:r>
          </w:p>
        </w:tc>
      </w:tr>
      <w:tr w14:paraId="1B7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 w:type="dxa"/>
            <w:vMerge w:val="restart"/>
            <w:noWrap w:val="0"/>
            <w:vAlign w:val="center"/>
          </w:tcPr>
          <w:p w14:paraId="00031FA9">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公用设备维护服务</w:t>
            </w:r>
          </w:p>
        </w:tc>
        <w:tc>
          <w:tcPr>
            <w:tcW w:w="1593" w:type="dxa"/>
            <w:noWrap w:val="0"/>
            <w:vAlign w:val="center"/>
          </w:tcPr>
          <w:p w14:paraId="4BECBFAE">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水电工</w:t>
            </w:r>
          </w:p>
          <w:p w14:paraId="7D5B5EEA">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（电工方向）</w:t>
            </w:r>
          </w:p>
        </w:tc>
        <w:tc>
          <w:tcPr>
            <w:tcW w:w="1195" w:type="dxa"/>
            <w:noWrap w:val="0"/>
            <w:vAlign w:val="center"/>
          </w:tcPr>
          <w:p w14:paraId="26EE9E3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w:t>
            </w:r>
          </w:p>
        </w:tc>
        <w:tc>
          <w:tcPr>
            <w:tcW w:w="1287" w:type="dxa"/>
            <w:noWrap w:val="0"/>
            <w:vAlign w:val="center"/>
          </w:tcPr>
          <w:p w14:paraId="563DFBC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w:t>
            </w:r>
          </w:p>
        </w:tc>
        <w:tc>
          <w:tcPr>
            <w:tcW w:w="4553" w:type="dxa"/>
            <w:noWrap w:val="0"/>
            <w:vAlign w:val="top"/>
          </w:tcPr>
          <w:p w14:paraId="3864D467">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主要从事电力相关维修维护，持有</w:t>
            </w:r>
            <w:r>
              <w:rPr>
                <w:rFonts w:hint="eastAsia" w:asciiTheme="minorEastAsia" w:hAnsiTheme="minorEastAsia" w:eastAsiaTheme="minorEastAsia"/>
                <w:color w:val="auto"/>
                <w:sz w:val="24"/>
                <w:highlight w:val="none"/>
                <w:lang w:val="en-US" w:eastAsia="zh-CN"/>
              </w:rPr>
              <w:t>江苏省应急管理厅颁发的高低压</w:t>
            </w:r>
            <w:r>
              <w:rPr>
                <w:rFonts w:hint="eastAsia" w:asciiTheme="minorEastAsia" w:hAnsiTheme="minorEastAsia" w:eastAsiaTheme="minorEastAsia"/>
                <w:color w:val="auto"/>
                <w:sz w:val="24"/>
                <w:highlight w:val="none"/>
              </w:rPr>
              <w:t>电工证</w:t>
            </w:r>
            <w:r>
              <w:rPr>
                <w:rFonts w:hint="eastAsia" w:ascii="宋体" w:hAnsi="宋体" w:eastAsia="宋体" w:cs="宋体"/>
                <w:b w:val="0"/>
                <w:bCs w:val="0"/>
                <w:color w:val="auto"/>
                <w:kern w:val="0"/>
                <w:sz w:val="24"/>
                <w:szCs w:val="24"/>
                <w:highlight w:val="none"/>
                <w:vertAlign w:val="baseline"/>
                <w:lang w:val="en-US" w:eastAsia="zh-CN"/>
              </w:rPr>
              <w:t>，服从工作安排，有较为丰富的相关工作经验。由总务处统一管理，需驻校服务。</w:t>
            </w:r>
          </w:p>
        </w:tc>
      </w:tr>
      <w:tr w14:paraId="514E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 w:type="dxa"/>
            <w:vMerge w:val="continue"/>
            <w:noWrap w:val="0"/>
            <w:vAlign w:val="center"/>
          </w:tcPr>
          <w:p w14:paraId="1260D999">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p>
        </w:tc>
        <w:tc>
          <w:tcPr>
            <w:tcW w:w="1593" w:type="dxa"/>
            <w:noWrap w:val="0"/>
            <w:vAlign w:val="center"/>
          </w:tcPr>
          <w:p w14:paraId="23EDCE08">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水电工</w:t>
            </w:r>
          </w:p>
          <w:p w14:paraId="5CDFEDD8">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（水工方向）</w:t>
            </w:r>
          </w:p>
        </w:tc>
        <w:tc>
          <w:tcPr>
            <w:tcW w:w="1195" w:type="dxa"/>
            <w:noWrap w:val="0"/>
            <w:vAlign w:val="center"/>
          </w:tcPr>
          <w:p w14:paraId="014F88E9">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87" w:type="dxa"/>
            <w:noWrap w:val="0"/>
            <w:vAlign w:val="center"/>
          </w:tcPr>
          <w:p w14:paraId="7C526BEF">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553" w:type="dxa"/>
            <w:noWrap w:val="0"/>
            <w:vAlign w:val="top"/>
          </w:tcPr>
          <w:p w14:paraId="2D1B8B99">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主要从事上下水相关维修维护，服从工作安排，有较为丰富的相关工作经验。由总务处统一管理，需驻校服务。</w:t>
            </w:r>
          </w:p>
        </w:tc>
      </w:tr>
      <w:tr w14:paraId="101E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14" w:type="dxa"/>
            <w:noWrap w:val="0"/>
            <w:vAlign w:val="center"/>
          </w:tcPr>
          <w:p w14:paraId="60AC4396">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绿化服务</w:t>
            </w:r>
          </w:p>
        </w:tc>
        <w:tc>
          <w:tcPr>
            <w:tcW w:w="1593" w:type="dxa"/>
            <w:noWrap w:val="0"/>
            <w:vAlign w:val="center"/>
          </w:tcPr>
          <w:p w14:paraId="50AB86BE">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绿化工</w:t>
            </w:r>
          </w:p>
        </w:tc>
        <w:tc>
          <w:tcPr>
            <w:tcW w:w="1195" w:type="dxa"/>
            <w:noWrap w:val="0"/>
            <w:vAlign w:val="center"/>
          </w:tcPr>
          <w:p w14:paraId="1C060F42">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4</w:t>
            </w:r>
          </w:p>
        </w:tc>
        <w:tc>
          <w:tcPr>
            <w:tcW w:w="1287" w:type="dxa"/>
            <w:noWrap w:val="0"/>
            <w:vAlign w:val="center"/>
          </w:tcPr>
          <w:p w14:paraId="7BC08031">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w:t>
            </w:r>
          </w:p>
        </w:tc>
        <w:tc>
          <w:tcPr>
            <w:tcW w:w="4553" w:type="dxa"/>
            <w:noWrap w:val="0"/>
            <w:vAlign w:val="center"/>
          </w:tcPr>
          <w:p w14:paraId="2D137BEC">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供应商根据现场服务需要配备符合采购人要求的绿化服务人员。</w:t>
            </w:r>
          </w:p>
        </w:tc>
      </w:tr>
      <w:tr w14:paraId="6CD0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907" w:type="dxa"/>
            <w:gridSpan w:val="2"/>
            <w:noWrap w:val="0"/>
            <w:vAlign w:val="center"/>
          </w:tcPr>
          <w:p w14:paraId="7F39E75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合计</w:t>
            </w:r>
          </w:p>
        </w:tc>
        <w:tc>
          <w:tcPr>
            <w:tcW w:w="1195" w:type="dxa"/>
            <w:noWrap w:val="0"/>
            <w:vAlign w:val="center"/>
          </w:tcPr>
          <w:p w14:paraId="7AF3B39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23</w:t>
            </w:r>
          </w:p>
        </w:tc>
        <w:tc>
          <w:tcPr>
            <w:tcW w:w="1287" w:type="dxa"/>
            <w:noWrap w:val="0"/>
            <w:vAlign w:val="center"/>
          </w:tcPr>
          <w:p w14:paraId="0B63C1B7">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23</w:t>
            </w:r>
          </w:p>
        </w:tc>
        <w:tc>
          <w:tcPr>
            <w:tcW w:w="4553" w:type="dxa"/>
            <w:noWrap w:val="0"/>
            <w:vAlign w:val="center"/>
          </w:tcPr>
          <w:p w14:paraId="2165FF1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w:t>
            </w:r>
          </w:p>
        </w:tc>
      </w:tr>
    </w:tbl>
    <w:p w14:paraId="33135F95">
      <w:pPr>
        <w:pStyle w:val="8"/>
        <w:spacing w:line="48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本合同的采购服务人员数量及要求，与</w:t>
      </w:r>
      <w:r>
        <w:rPr>
          <w:rFonts w:hint="eastAsia" w:ascii="宋体" w:hAnsi="宋体" w:eastAsia="宋体" w:cs="宋体"/>
          <w:b w:val="0"/>
          <w:bCs w:val="0"/>
          <w:kern w:val="2"/>
          <w:sz w:val="24"/>
          <w:szCs w:val="24"/>
          <w:highlight w:val="none"/>
          <w:lang w:val="en-US" w:eastAsia="zh-CN" w:bidi="ar-SA"/>
        </w:rPr>
        <w:t>甲方要求的人员</w:t>
      </w:r>
      <w:r>
        <w:rPr>
          <w:rFonts w:hint="eastAsia" w:ascii="宋体" w:hAnsi="宋体" w:eastAsia="宋体" w:cs="宋体"/>
          <w:b w:val="0"/>
          <w:bCs w:val="0"/>
          <w:sz w:val="24"/>
          <w:szCs w:val="24"/>
          <w:highlight w:val="none"/>
          <w:lang w:val="en-US" w:eastAsia="zh-CN"/>
        </w:rPr>
        <w:t>数量及要求相</w:t>
      </w:r>
      <w:r>
        <w:rPr>
          <w:rFonts w:hint="eastAsia" w:ascii="宋体" w:hAnsi="宋体" w:eastAsia="宋体" w:cs="宋体"/>
          <w:b w:val="0"/>
          <w:bCs w:val="0"/>
          <w:kern w:val="2"/>
          <w:sz w:val="24"/>
          <w:szCs w:val="24"/>
          <w:highlight w:val="none"/>
          <w:lang w:val="en-US" w:eastAsia="zh-CN" w:bidi="ar-SA"/>
        </w:rPr>
        <w:t>一致，具体详见项目采购需求。</w:t>
      </w:r>
    </w:p>
    <w:p w14:paraId="1AB8AA1B">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条 装备、耗材的使用</w:t>
      </w:r>
    </w:p>
    <w:p w14:paraId="5A0C3757">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校园绿化、保洁项目服务中所需低值易耗品、清洁用品、化肥、农药等每个学期末由乙方申请，甲方集中采购；木工、瓦工维护维修过程中所需耗材根据实际需要，由乙方申请，甲方采购。所需工具、设备器材、物业管理办公设备由乙方配备。垃圾桶由甲方配备交由乙方管理，收集和服务中损坏由乙方自行更换并承担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具体详见项目采购需求。</w:t>
      </w:r>
    </w:p>
    <w:p w14:paraId="5617F68F">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条 合同金额及付款方式</w:t>
      </w:r>
    </w:p>
    <w:p w14:paraId="2F00435B">
      <w:pPr>
        <w:pStyle w:val="22"/>
        <w:keepNext w:val="0"/>
        <w:keepLines w:val="0"/>
        <w:pageBreakBefore w:val="0"/>
        <w:spacing w:line="520" w:lineRule="exact"/>
        <w:ind w:firstLine="4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本合同总金额(大写)为人民币：</w:t>
      </w:r>
      <w:r>
        <w:rPr>
          <w:rFonts w:hint="eastAsia" w:ascii="宋体" w:hAnsi="宋体" w:eastAsia="宋体" w:cs="宋体"/>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27654346">
      <w:pPr>
        <w:spacing w:line="360" w:lineRule="auto"/>
        <w:ind w:firstLine="422"/>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付款</w:t>
      </w:r>
      <w:r>
        <w:rPr>
          <w:rFonts w:hint="eastAsia" w:ascii="宋体" w:hAnsi="宋体" w:eastAsia="宋体" w:cs="宋体"/>
          <w:b/>
          <w:bCs/>
          <w:color w:val="auto"/>
          <w:sz w:val="24"/>
          <w:szCs w:val="24"/>
          <w:highlight w:val="none"/>
          <w:lang w:val="en-US" w:eastAsia="zh-CN"/>
        </w:rPr>
        <w:t>方式：</w:t>
      </w:r>
      <w:r>
        <w:rPr>
          <w:rFonts w:hint="eastAsia" w:ascii="宋体" w:hAnsi="宋体" w:eastAsia="宋体" w:cs="宋体"/>
          <w:color w:val="auto"/>
          <w:sz w:val="24"/>
          <w:highlight w:val="none"/>
        </w:rPr>
        <w:t>合同签订后预付当月应支付额的40%；采购人根据每月成交供应商的考核得分情况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次月支付上月物业服务费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寒暑假除外</w:t>
      </w:r>
      <w:r>
        <w:rPr>
          <w:rFonts w:hint="eastAsia" w:ascii="宋体" w:hAnsi="宋体" w:cs="宋体"/>
          <w:color w:val="auto"/>
          <w:sz w:val="24"/>
          <w:highlight w:val="none"/>
          <w:lang w:eastAsia="zh-CN"/>
        </w:rPr>
        <w:t>，（</w:t>
      </w:r>
      <w:r>
        <w:rPr>
          <w:rFonts w:hint="eastAsia" w:ascii="宋体" w:hAnsi="宋体" w:cs="宋体"/>
          <w:b/>
          <w:bCs/>
          <w:color w:val="auto"/>
          <w:sz w:val="24"/>
          <w:highlight w:val="none"/>
          <w:lang w:val="en-US" w:eastAsia="zh-CN"/>
        </w:rPr>
        <w:t>第一个月付款应扣除已支付的预付款</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w:t>
      </w:r>
    </w:p>
    <w:p w14:paraId="55829787">
      <w:pPr>
        <w:spacing w:line="360" w:lineRule="auto"/>
        <w:ind w:firstLine="422"/>
        <w:rPr>
          <w:rFonts w:hint="eastAsia" w:ascii="宋体" w:hAnsi="宋体" w:eastAsia="宋体" w:cs="宋体"/>
          <w:color w:val="auto"/>
          <w:sz w:val="24"/>
          <w:highlight w:val="none"/>
          <w:lang w:val="en-US"/>
        </w:rPr>
      </w:pPr>
      <w:r>
        <w:rPr>
          <w:rFonts w:hint="eastAsia" w:ascii="宋体" w:hAnsi="宋体" w:eastAsia="宋体" w:cs="宋体"/>
          <w:color w:val="auto"/>
          <w:kern w:val="2"/>
          <w:sz w:val="24"/>
          <w:szCs w:val="24"/>
          <w:highlight w:val="none"/>
          <w:lang w:val="en-US" w:eastAsia="zh-CN" w:bidi="ar-SA"/>
        </w:rPr>
        <w:t>成交供应商当月考核得分在90分以上的（含90分）采购人全额支付月服务费；当月考核得分在90分以下，暂缓支付并要求整改，达到标准后再支付；成交供应商累计三个月考核得分低于70分的，采购人有权终止合同，物业公司须无条件按服务对象要求办理移交、退场手续。</w:t>
      </w:r>
    </w:p>
    <w:p w14:paraId="6064073A">
      <w:pPr>
        <w:spacing w:line="360" w:lineRule="auto"/>
        <w:ind w:firstLine="42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合同到期前三个月，暂缓付款，须结清农民工工资，完成所有交接项目，待采购人考核合格后一次性付清。</w:t>
      </w:r>
    </w:p>
    <w:p w14:paraId="44DE17AC">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条 履约保证金</w:t>
      </w:r>
    </w:p>
    <w:p w14:paraId="57517EFE">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乙方交纳人民币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元作为本合同的履约保证金。（不得超过合同金额的1%）</w:t>
      </w:r>
    </w:p>
    <w:p w14:paraId="2DC034ED">
      <w:pPr>
        <w:keepNext w:val="0"/>
        <w:keepLines w:val="0"/>
        <w:pageBreakBefore w:val="0"/>
        <w:numPr>
          <w:ilvl w:val="0"/>
          <w:numId w:val="0"/>
        </w:num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乙方提供的履约保证金可以是人民币形式（银行本票、汇票、支票、电汇），或银行保函、担保公司的保证担保或保险公司的保证保险等多种形式。</w:t>
      </w:r>
    </w:p>
    <w:p w14:paraId="288150D3">
      <w:pPr>
        <w:keepNext w:val="0"/>
        <w:keepLines w:val="0"/>
        <w:pageBreakBefore w:val="0"/>
        <w:numPr>
          <w:ilvl w:val="0"/>
          <w:numId w:val="0"/>
        </w:num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乙方选取银行保函、担保公司的保证担保或保险公司的保证保险等形式的向采购人缴纳的，如保函（担保、保险等）的约定期到期但乙方履约仍未结束的，乙方须进行续保。</w:t>
      </w:r>
    </w:p>
    <w:p w14:paraId="50910829">
      <w:pPr>
        <w:keepNext w:val="0"/>
        <w:keepLines w:val="0"/>
        <w:pageBreakBefore w:val="0"/>
        <w:numPr>
          <w:ilvl w:val="0"/>
          <w:numId w:val="0"/>
        </w:numPr>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397E8194">
      <w:pPr>
        <w:keepNext w:val="0"/>
        <w:keepLines w:val="0"/>
        <w:pageBreakBefore w:val="0"/>
        <w:spacing w:line="52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如乙方未能履行合同规定的义务，甲方有权从履约保证金中取得补偿。</w:t>
      </w:r>
    </w:p>
    <w:p w14:paraId="7E103497">
      <w:pPr>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7067AA22">
      <w:pPr>
        <w:keepNext w:val="0"/>
        <w:keepLines w:val="0"/>
        <w:pageBreakBefore w:val="0"/>
        <w:spacing w:line="52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7.履约保证金在合同约定期间内不予退还或者应完全有效，履约保证金在项目验收合格后退还给乙方。</w:t>
      </w:r>
    </w:p>
    <w:p w14:paraId="77C6B627">
      <w:pPr>
        <w:pStyle w:val="22"/>
        <w:keepNext w:val="0"/>
        <w:keepLines w:val="0"/>
        <w:pageBreakBefore w:val="0"/>
        <w:spacing w:line="520" w:lineRule="exact"/>
        <w:ind w:firstLine="482" w:firstLineChars="200"/>
        <w:outlineLvl w:val="9"/>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条 物业管理及绿化管护服务质量要求：</w:t>
      </w:r>
      <w:r>
        <w:rPr>
          <w:rFonts w:hint="eastAsia" w:ascii="宋体" w:hAnsi="宋体" w:eastAsia="宋体" w:cs="宋体"/>
          <w:b w:val="0"/>
          <w:bCs w:val="0"/>
          <w:color w:val="auto"/>
          <w:kern w:val="2"/>
          <w:sz w:val="24"/>
          <w:szCs w:val="24"/>
          <w:highlight w:val="none"/>
          <w:lang w:val="en-US" w:eastAsia="zh-CN" w:bidi="ar-SA"/>
        </w:rPr>
        <w:t>考核合格，</w:t>
      </w:r>
      <w:r>
        <w:rPr>
          <w:rFonts w:hint="eastAsia" w:ascii="宋体" w:hAnsi="宋体" w:eastAsia="宋体" w:cs="宋体"/>
          <w:b w:val="0"/>
          <w:bCs w:val="0"/>
          <w:sz w:val="24"/>
          <w:szCs w:val="24"/>
          <w:highlight w:val="none"/>
          <w:lang w:val="en-US" w:eastAsia="zh-CN"/>
        </w:rPr>
        <w:t>具体</w:t>
      </w:r>
      <w:r>
        <w:rPr>
          <w:rFonts w:hint="eastAsia" w:ascii="宋体" w:hAnsi="宋体" w:eastAsia="宋体" w:cs="宋体"/>
          <w:b w:val="0"/>
          <w:bCs w:val="0"/>
          <w:sz w:val="24"/>
          <w:szCs w:val="24"/>
          <w:highlight w:val="none"/>
        </w:rPr>
        <w:t>详见</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采购需求</w:t>
      </w:r>
      <w:r>
        <w:rPr>
          <w:rFonts w:hint="eastAsia" w:ascii="宋体" w:hAnsi="宋体" w:eastAsia="宋体" w:cs="宋体"/>
          <w:b w:val="0"/>
          <w:bCs w:val="0"/>
          <w:sz w:val="24"/>
          <w:szCs w:val="24"/>
          <w:highlight w:val="none"/>
          <w:lang w:eastAsia="zh-CN"/>
        </w:rPr>
        <w:t>。</w:t>
      </w:r>
    </w:p>
    <w:p w14:paraId="66E3D4DF">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条 经营制约</w:t>
      </w:r>
    </w:p>
    <w:p w14:paraId="03FC661D">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1.乙方不得以甲方的名义从事任何经济活动，且由此发生的一切债权、债务及责任与甲方无关。</w:t>
      </w:r>
    </w:p>
    <w:p w14:paraId="0E54ECBD">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2.未获甲方同意，乙方任何时候都不能在承包区域存放易燃物品、挥发性大或气味浓烈的液体等危化品。</w:t>
      </w:r>
    </w:p>
    <w:p w14:paraId="34C174FA">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条 乙方的义务</w:t>
      </w:r>
    </w:p>
    <w:p w14:paraId="4C3E0586">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1.在承包区域的各项服务，其工作时间必须满足甲方的工作要求，包括星期天及公众假期。如遇特殊情况，甲方可要求乙方调整工作时间直至全天二十四小时工作。</w:t>
      </w:r>
    </w:p>
    <w:p w14:paraId="086D0D69">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2.乙方的项目负责人全权代表乙方与甲方保持密切联系并保证承包区域服务工作，并保证在甲方作息时间在岗。甲方可以按缺一天300元/次累计扣除当</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合同款。根据综合考评或工作情况，甲方有权要求乙方在一个星期内更换项目经理等人员。</w:t>
      </w:r>
    </w:p>
    <w:p w14:paraId="1CBDAF8B">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3.为承包区域的服务工作配备承诺的人员及人员数量（不少于2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人），甲方不定期抽查乙方投入的人员数量，如果抽查时发现乙方投入的人员数量少于合同约定的数量，甲方可以按缺少人数每人1000元/次累计扣除当</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合同款。</w:t>
      </w:r>
    </w:p>
    <w:p w14:paraId="13FFB75D">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4.在承包期间，乙方承诺合法用工，乙方人员发生任何事故或与乙方发生劳动争议均由乙方自行全权负责，相关费用及责任乙方自行承担。</w:t>
      </w:r>
    </w:p>
    <w:p w14:paraId="00509FFA">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.乙方工作人员上岗须统一着装。</w:t>
      </w:r>
    </w:p>
    <w:p w14:paraId="2206A460">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.乙方必须确保为甲方提供优质、高效的专业服务，并根据甲方要求改变不满意的服务状况。接受有关部门监督与检查。同时，乙方自觉参加甲方认为有助提高甲方形象的宣传活动。</w:t>
      </w:r>
    </w:p>
    <w:p w14:paraId="06E2CD33">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十</w:t>
      </w:r>
      <w:r>
        <w:rPr>
          <w:rFonts w:hint="eastAsia" w:ascii="宋体" w:hAnsi="宋体" w:eastAsia="宋体" w:cs="宋体"/>
          <w:b/>
          <w:bCs/>
          <w:sz w:val="24"/>
          <w:szCs w:val="24"/>
          <w:highlight w:val="none"/>
        </w:rPr>
        <w:t>条 保险</w:t>
      </w:r>
    </w:p>
    <w:p w14:paraId="6AF9C2D8">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乙方须按规定为全体服务人员交纳所有相应保险，在签订合同一周后提供给甲方。</w:t>
      </w:r>
    </w:p>
    <w:p w14:paraId="6E88B00F">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条 合同生效和终止</w:t>
      </w:r>
    </w:p>
    <w:p w14:paraId="2E681818">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本合同经甲乙双方签字盖章，且在乙方向甲方缴纳1%履约保证金后生效，如有变动，必须经甲方、乙方协商一致，并报盱眙县财政局备案后，方可更改。</w:t>
      </w:r>
    </w:p>
    <w:p w14:paraId="7626E35E">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条 双方权利义务</w:t>
      </w:r>
    </w:p>
    <w:p w14:paraId="314F4A1F">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 甲方权利义务</w:t>
      </w:r>
    </w:p>
    <w:p w14:paraId="6CC0EFDC">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（1）审定乙方拟定的物业管理制度，检查监督乙方管理工作的实施、制度的执行和岗位职责的履行情况，对乙方管理工作按学校管理规定标准进行考核。</w:t>
      </w:r>
    </w:p>
    <w:p w14:paraId="696F2977">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（2）审定乙方所聘用的工作人员，并提出建议和意见。</w:t>
      </w:r>
    </w:p>
    <w:p w14:paraId="100AB317">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（3）提供所需的办公用房。</w:t>
      </w:r>
    </w:p>
    <w:p w14:paraId="2E1555C6">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协助乙方做好物业管理工作的宣传教育，对乙方提交的管理报告及时签收并反馈相关意见。负责乙方的日常养护作业的管理和检查（定期检查和不定期抽查相结合）。每月底对乙方作出下月度养护工作计划布置和对当月度养护工作进行综合考核。</w:t>
      </w:r>
    </w:p>
    <w:p w14:paraId="57DE9CF8">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（5）乙方与所聘用的人员如果发生工资福利等方面的纠纷，由乙方自行协商解决，与甲方无关。</w:t>
      </w:r>
    </w:p>
    <w:p w14:paraId="3D193F01">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2.乙方权利义务</w:t>
      </w:r>
    </w:p>
    <w:p w14:paraId="4FF05789">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根据有关法律、法规及本协议的约定，制定物业管理制度，建立、健全物业管理档案，随时提供给甲方查阅，并接受甲方管理监督。根据甲方养护工作计划及养护工作月历，乙方承担日常养护，做好统计报表，并按时做好周、月、季、年度上报养护工作完成情况表，按甲方要求及时上报，应按甲方提出的对各种管理的要求落实保护措施。乙方在本合同生效后15天内上报全年养护作业维修计划，并结合季节特点和绿化状况，制定季度、月度养护计划、材料计划送交甲方。甲方在7天内予以确认。乙方必须按甲方确认的进度计划组织养护作业，接受甲方对进度的检查、监督。养护作业实际进度与经确认的进度计划不一致时，乙方应按甲方的要求提出改进措施，经甲方代表确认后执行，乙方无权就改进措施提出追加合同价款。</w:t>
      </w:r>
    </w:p>
    <w:p w14:paraId="0356EFEF">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（2）非经甲方同意，对辅房、场地、设施、设备等不得出租、出借、转让、调换及做非物业管理使用。</w:t>
      </w:r>
    </w:p>
    <w:p w14:paraId="7A03D642">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（3）自觉遵守甲方的有关规章制度，并根据协议接受甲方的监督、检查和考核，对甲方提出的问题及时进行整改。</w:t>
      </w:r>
    </w:p>
    <w:p w14:paraId="5B2C5AD5">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（4）乙方所聘用的工作人员，在接受甲方审查同意的前提下由乙方自主聘请并与之签定劳动合同，乙方自主安排其分工。</w:t>
      </w:r>
    </w:p>
    <w:p w14:paraId="7D7DCB9F">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（5）建立巡视报告制，每天有专人进行对绿化等设施的巡视，并做好每日巡视记录。发现养护范围内公用设施等缺损或安全隐患，在原位置设置明显的安全标志，及时维修，否则乙方将承担相应责任。</w:t>
      </w:r>
    </w:p>
    <w:p w14:paraId="53310357">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①巡视中如发现绿化设施损坏，应在24小时内处理完毕，如发现人为造成的绿化设施损坏，必须在24小时内书面报告甲方和所在地执法部门。</w:t>
      </w:r>
    </w:p>
    <w:p w14:paraId="77949112">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②巡视中发现绿地内有违章搭建及其它破坏绿化等现象，必须当场予以制止，立即报告所在地的执法部门，协助做好有关工作，并将处理结果报告甲方。</w:t>
      </w:r>
    </w:p>
    <w:p w14:paraId="2C8E324B">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超出常规养护范围的工作，需提前报甲方审批；及时解决来信、来访，并根据甲方要求及时处理；按时按量完成甲方交办的其它突击性任务和指令性任务；加强法定节假日的正常养护维修工作；乙方应服从所在地的绿化主管部门的行业管理，如有移伐树木、占用绿地事项，乙方应及时负责移伐树木、占用绿地后的绿地修复工作。</w:t>
      </w:r>
    </w:p>
    <w:p w14:paraId="44085215">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）乙方应作的其他工作，双方在补充条款内约定。</w:t>
      </w:r>
    </w:p>
    <w:p w14:paraId="0E9D3335">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条 违约责任</w:t>
      </w:r>
    </w:p>
    <w:p w14:paraId="03B4B641">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乙方服务过程中，发生工作不到位，甲方有权对其发出《处罚通知书》，进行经济处罚。乙方不能达到所承诺的养护质量和有关技术规范标准，乙方按协议条款支付违约金，赔偿因违约给甲方造成的损失。</w:t>
      </w:r>
    </w:p>
    <w:p w14:paraId="67F1279A">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乙方违反招投标文件的有关要求，未能按甲方要求进行整改，甲方有权视情况对其发出《整改通知书》，限期整改。服务期内，累计下达达到三次《整改通知书》，乙方无条件退场，并处没收全部履约保证金。</w:t>
      </w:r>
    </w:p>
    <w:p w14:paraId="1FD55E60">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因一方违约使合同不能履行，另一方欲终止或解除全部合同，应提前10天通知违约方后，方可终止或解除合同，由违约方承担违约责任。</w:t>
      </w:r>
    </w:p>
    <w:p w14:paraId="37AC680F">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条 争议处理</w:t>
      </w:r>
    </w:p>
    <w:p w14:paraId="2B7ED80E">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合同在履行过程中发生争议时，由甲乙双方协商解决。协商不成，任何一方均可向有关部门申请调解，调解不成的向盱眙县人民法院提起诉讼解决。</w:t>
      </w:r>
    </w:p>
    <w:p w14:paraId="47EEADF6">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条 安全防护及事故处理</w:t>
      </w:r>
    </w:p>
    <w:p w14:paraId="220E9E65">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乙方应做好管理区内的安全管理工作，并随时接受甲方或行业安全检查人员依法实施的监督检查，采取必要的安全防护措施，消除事故隐患。</w:t>
      </w:r>
    </w:p>
    <w:p w14:paraId="59E2A201">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由于乙方管理不善，引起政府职能部门处罚和停工整改，或安全措施不力造成事故的责任和因此发生的费用，由乙方承担。</w:t>
      </w:r>
    </w:p>
    <w:p w14:paraId="241698FF">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工作人员应做好各项安全防范措施，必须着装上岗操作。若发生重大伤亡及其他安全事故，乙方应按有关规定立即上报有关部门并通知甲方代表，同时按政府有关部门要求处理，由事故责任方和乙方承担发生的费用。</w:t>
      </w:r>
    </w:p>
    <w:p w14:paraId="40FB5638">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第十六条 </w:t>
      </w:r>
      <w:r>
        <w:rPr>
          <w:rFonts w:hint="eastAsia" w:ascii="宋体" w:hAnsi="宋体" w:eastAsia="宋体" w:cs="宋体"/>
          <w:b/>
          <w:bCs/>
          <w:sz w:val="24"/>
          <w:szCs w:val="24"/>
          <w:highlight w:val="none"/>
        </w:rPr>
        <w:t>组成本合同的文件包括</w:t>
      </w:r>
    </w:p>
    <w:p w14:paraId="78E0E998">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合同主要条款及通用条款；</w:t>
      </w:r>
    </w:p>
    <w:p w14:paraId="24E0ED5C">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中标供应商提交的响应文件；</w:t>
      </w:r>
    </w:p>
    <w:p w14:paraId="1C235847">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成交通知书；</w:t>
      </w:r>
    </w:p>
    <w:p w14:paraId="3A06D58D">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采购人和供应商商定的其他必要文件。</w:t>
      </w:r>
    </w:p>
    <w:p w14:paraId="2F2B2AB3">
      <w:pPr>
        <w:pStyle w:val="22"/>
        <w:keepNext w:val="0"/>
        <w:keepLines w:val="0"/>
        <w:pageBreakBefore w:val="0"/>
        <w:spacing w:line="520" w:lineRule="exact"/>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条 其他</w:t>
      </w:r>
    </w:p>
    <w:p w14:paraId="4E679176">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在本合同执行过程中如遇和国家政策、地方法规的有关规定不符时，按有关政策法规执行。</w:t>
      </w:r>
    </w:p>
    <w:p w14:paraId="3F5D5021">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如遇自然灾害和不可抗力造成损失的，经双方协商解决。</w:t>
      </w:r>
    </w:p>
    <w:p w14:paraId="5BC0A00A">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本协议经双方签章后生效，本合同一式六份，买方、卖方各执两份、招标代理留存一份，财政局备案一份。</w:t>
      </w:r>
    </w:p>
    <w:p w14:paraId="6AE3E864">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p>
    <w:p w14:paraId="7D5056F8">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p>
    <w:p w14:paraId="401C4195">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    方:                          乙    方:</w:t>
      </w:r>
    </w:p>
    <w:p w14:paraId="2547501F">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单位盖章:（</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单位盖章:（</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14:paraId="7748DB0E">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代表签字:                          代表签字:</w:t>
      </w:r>
    </w:p>
    <w:p w14:paraId="0FE03C6B">
      <w:pPr>
        <w:pStyle w:val="22"/>
        <w:keepNext w:val="0"/>
        <w:keepLines w:val="0"/>
        <w:pageBreakBefore w:val="0"/>
        <w:spacing w:line="52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签定日期: </w:t>
      </w:r>
      <w:r>
        <w:rPr>
          <w:rFonts w:hint="eastAsia" w:ascii="宋体" w:hAnsi="宋体" w:eastAsia="宋体" w:cs="宋体"/>
          <w:sz w:val="24"/>
          <w:szCs w:val="24"/>
          <w:highlight w:val="none"/>
          <w:lang w:val="en-US" w:eastAsia="zh-CN"/>
        </w:rPr>
        <w:t xml:space="preserve">   年  月  日</w:t>
      </w:r>
      <w:r>
        <w:rPr>
          <w:rFonts w:hint="eastAsia" w:ascii="宋体" w:hAnsi="宋体" w:eastAsia="宋体" w:cs="宋体"/>
          <w:sz w:val="24"/>
          <w:szCs w:val="24"/>
          <w:highlight w:val="none"/>
        </w:rPr>
        <w:t xml:space="preserve">            签定日期:</w:t>
      </w:r>
      <w:r>
        <w:rPr>
          <w:rFonts w:hint="eastAsia" w:ascii="宋体" w:hAnsi="宋体" w:eastAsia="宋体" w:cs="宋体"/>
          <w:sz w:val="24"/>
          <w:szCs w:val="24"/>
          <w:highlight w:val="none"/>
          <w:lang w:val="en-US" w:eastAsia="zh-CN"/>
        </w:rPr>
        <w:t xml:space="preserve">    年  月  日</w:t>
      </w:r>
      <w:r>
        <w:rPr>
          <w:rFonts w:hint="eastAsia" w:ascii="宋体" w:hAnsi="宋体" w:eastAsia="宋体" w:cs="宋体"/>
          <w:sz w:val="24"/>
          <w:szCs w:val="24"/>
          <w:highlight w:val="none"/>
        </w:rPr>
        <w:t xml:space="preserve"> </w:t>
      </w:r>
    </w:p>
    <w:p w14:paraId="70B588D7">
      <w:pPr>
        <w:pBdr>
          <w:top w:val="none" w:color="000000" w:sz="0" w:space="0"/>
          <w:left w:val="none" w:color="000000" w:sz="0" w:space="0"/>
          <w:bottom w:val="none" w:color="000000" w:sz="0" w:space="0"/>
          <w:right w:val="none" w:color="000000" w:sz="0" w:space="0"/>
        </w:pBdr>
        <w:spacing w:before="0" w:after="0" w:line="437"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5192631B">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5DDCDD9F">
      <w:pPr>
        <w:pBdr>
          <w:top w:val="none" w:color="000000" w:sz="0" w:space="0"/>
          <w:left w:val="none" w:color="000000" w:sz="0" w:space="0"/>
          <w:bottom w:val="none" w:color="000000" w:sz="0" w:space="0"/>
          <w:right w:val="none" w:color="000000" w:sz="0" w:space="0"/>
        </w:pBdr>
        <w:spacing w:before="0" w:after="200" w:line="479" w:lineRule="atLeast"/>
        <w:ind w:right="0"/>
        <w:rPr>
          <w:rFonts w:hint="eastAsia" w:ascii="宋体" w:hAnsi="宋体" w:eastAsia="宋体" w:cs="宋体"/>
          <w:sz w:val="32"/>
          <w:szCs w:val="32"/>
          <w:highlight w:val="none"/>
        </w:rPr>
      </w:pPr>
      <w:r>
        <w:rPr>
          <w:rFonts w:hint="eastAsia" w:ascii="宋体" w:hAnsi="宋体" w:eastAsia="宋体" w:cs="宋体"/>
          <w:highlight w:val="none"/>
        </w:rPr>
        <w:br w:type="page" w:clear="all"/>
      </w:r>
    </w:p>
    <w:p w14:paraId="2408C9FD">
      <w:pPr>
        <w:pStyle w:val="11"/>
        <w:shd w:val="clear" w:color="auto" w:fill="FFFFFF"/>
        <w:spacing w:line="560" w:lineRule="exac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附件</w:t>
      </w:r>
      <w:r>
        <w:rPr>
          <w:rFonts w:hint="eastAsia" w:ascii="宋体" w:hAnsi="宋体" w:eastAsia="宋体" w:cs="宋体"/>
          <w:sz w:val="32"/>
          <w:szCs w:val="32"/>
          <w:highlight w:val="none"/>
          <w:lang w:eastAsia="zh-CN"/>
        </w:rPr>
        <w:t>：</w:t>
      </w:r>
    </w:p>
    <w:p w14:paraId="3A5A4625">
      <w:pPr>
        <w:pStyle w:val="11"/>
        <w:shd w:val="clear" w:color="auto" w:fill="FFFFFF"/>
        <w:spacing w:line="56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shd w:val="clear" w:color="auto" w:fill="FFFFFF"/>
        </w:rPr>
        <w:t>政府采购廉政监督承诺书</w:t>
      </w:r>
    </w:p>
    <w:p w14:paraId="1241B174">
      <w:pPr>
        <w:pStyle w:val="11"/>
        <w:shd w:val="clear" w:color="auto" w:fill="FFFFFF"/>
        <w:spacing w:line="56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shd w:val="clear" w:color="auto" w:fill="FFFFFF"/>
        </w:rPr>
        <w:t>（</w:t>
      </w:r>
      <w:r>
        <w:rPr>
          <w:rFonts w:hint="eastAsia" w:ascii="宋体" w:hAnsi="宋体" w:eastAsia="宋体" w:cs="宋体"/>
          <w:kern w:val="2"/>
          <w:sz w:val="32"/>
          <w:szCs w:val="32"/>
          <w:highlight w:val="none"/>
        </w:rPr>
        <w:t>采购人与中标、成交供应商版</w:t>
      </w:r>
      <w:r>
        <w:rPr>
          <w:rFonts w:hint="eastAsia" w:ascii="宋体" w:hAnsi="宋体" w:eastAsia="宋体" w:cs="宋体"/>
          <w:sz w:val="32"/>
          <w:szCs w:val="32"/>
          <w:highlight w:val="none"/>
          <w:shd w:val="clear" w:color="auto" w:fill="FFFFFF"/>
        </w:rPr>
        <w:t>）</w:t>
      </w:r>
    </w:p>
    <w:p w14:paraId="2066441F">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一、采购人承诺</w:t>
      </w:r>
    </w:p>
    <w:p w14:paraId="4A75ABAC">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1.坚持“谁采购、谁负责”原则，认真落实政府采购主体责任，履行“三重一大”集体研究程序，完善政府采购内控制度，加强政府采购廉政警示和廉政教育。</w:t>
      </w:r>
    </w:p>
    <w:p w14:paraId="5B7D9DE7">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2.细化政府采购预算编制，严格预算执行，科学合理确定采购需求，不擅自提高采购标准，严禁超需要、无预算或超预算采购。</w:t>
      </w:r>
    </w:p>
    <w:p w14:paraId="1AC51F5D">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10" w:name="_Hlk174982092"/>
      <w:r>
        <w:rPr>
          <w:rFonts w:hint="eastAsia" w:ascii="宋体" w:hAnsi="宋体" w:eastAsia="宋体" w:cs="宋体"/>
          <w:sz w:val="24"/>
          <w:szCs w:val="24"/>
          <w:highlight w:val="none"/>
        </w:rPr>
        <w:t>不非法干预、影响政府采购评审活动，不对供应商实行差别待遇和歧视待遇。不在开标前泄露政府采购项目相关情况影响公平竞争。</w:t>
      </w:r>
      <w:bookmarkEnd w:id="10"/>
    </w:p>
    <w:p w14:paraId="46F3AFB0">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4.不索取、不收受供应商赠送的礼品、现金</w:t>
      </w:r>
      <w:r>
        <w:rPr>
          <w:rFonts w:hint="eastAsia" w:ascii="宋体" w:hAnsi="宋体" w:eastAsia="宋体" w:cs="宋体"/>
          <w:sz w:val="24"/>
          <w:szCs w:val="24"/>
          <w:highlight w:val="none"/>
        </w:rPr>
        <w:t>、有价证券和贵重物品。不参加供应商组织的宴请、旅游、娱乐。不得向</w:t>
      </w:r>
      <w:r>
        <w:rPr>
          <w:rFonts w:hint="eastAsia" w:ascii="宋体" w:hAnsi="宋体" w:eastAsia="宋体" w:cs="宋体"/>
          <w:sz w:val="24"/>
          <w:szCs w:val="24"/>
          <w:highlight w:val="none"/>
          <w:shd w:val="clear" w:color="auto" w:fill="FFFFFF"/>
        </w:rPr>
        <w:t>供应商</w:t>
      </w:r>
      <w:r>
        <w:rPr>
          <w:rFonts w:hint="eastAsia" w:ascii="宋体" w:hAnsi="宋体" w:eastAsia="宋体" w:cs="宋体"/>
          <w:sz w:val="24"/>
          <w:szCs w:val="24"/>
          <w:highlight w:val="none"/>
        </w:rPr>
        <w:t>报销应当由个人承担的费用。</w:t>
      </w:r>
    </w:p>
    <w:p w14:paraId="4C44098F">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5.不恶意串通操纵政府采购活动。</w:t>
      </w:r>
    </w:p>
    <w:p w14:paraId="67731F34">
      <w:pPr>
        <w:pStyle w:val="8"/>
        <w:snapToGrid w:val="0"/>
        <w:spacing w:line="52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rPr>
        <w:t>6.认真执行双方签订的政府采购合同文件，自觉按合同办事。根据合同履行情况，及时开展履约验收，及时支付采购资金。</w:t>
      </w:r>
    </w:p>
    <w:p w14:paraId="6C06BADD">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7.坚持公开透明，及时准确做好政府采购全流程信息公开，采购活动全程留痕，采购资料记录全面完整。</w:t>
      </w:r>
    </w:p>
    <w:p w14:paraId="5B29F58F">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8.依法依规处理政府采购质疑和投诉。</w:t>
      </w:r>
    </w:p>
    <w:p w14:paraId="34B2DA8A">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9.不发生其他有悖于政府采购公开、公平、公正和诚实原则的行为，自觉接受财政、监察、审计等有关单位的监督。</w:t>
      </w:r>
    </w:p>
    <w:p w14:paraId="06A6E051">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10.如违反以上承诺，愿接受监管部门依照相关法律法规处理并承担相应的法律责任。</w:t>
      </w:r>
    </w:p>
    <w:p w14:paraId="73ABF80C">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shd w:val="clear" w:color="auto" w:fill="FFFFFF"/>
        </w:rPr>
        <w:t>供应商承诺</w:t>
      </w:r>
    </w:p>
    <w:p w14:paraId="5A0A40DF">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1.自觉遵守国家和省、市关于政府采购管理以及廉洁从业的各项规定。</w:t>
      </w:r>
    </w:p>
    <w:p w14:paraId="5CD0C17F">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2.坚持公平竞争、诚实守信，不与采购人、其他供应商或者代理机构恶意串通，不非法干预、影响评审过程和结果，不提供虚假材料谋取中标、成交。</w:t>
      </w:r>
    </w:p>
    <w:p w14:paraId="74A59EB3">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3.不向</w:t>
      </w:r>
      <w:r>
        <w:rPr>
          <w:rFonts w:hint="eastAsia" w:ascii="宋体" w:hAnsi="宋体" w:eastAsia="宋体" w:cs="宋体"/>
          <w:sz w:val="24"/>
          <w:szCs w:val="24"/>
          <w:highlight w:val="none"/>
          <w:shd w:val="clear" w:color="auto" w:fill="FFFFFF"/>
        </w:rPr>
        <w:t>采购人、采购代理机构赠送礼品、现金</w:t>
      </w:r>
      <w:r>
        <w:rPr>
          <w:rFonts w:hint="eastAsia" w:ascii="宋体" w:hAnsi="宋体" w:eastAsia="宋体" w:cs="宋体"/>
          <w:sz w:val="24"/>
          <w:szCs w:val="24"/>
          <w:highlight w:val="none"/>
        </w:rPr>
        <w:t>、有价证券和贵重物品或提供其他不正当利益。不邀请</w:t>
      </w:r>
      <w:r>
        <w:rPr>
          <w:rFonts w:hint="eastAsia" w:ascii="宋体" w:hAnsi="宋体" w:eastAsia="宋体" w:cs="宋体"/>
          <w:sz w:val="24"/>
          <w:szCs w:val="24"/>
          <w:highlight w:val="none"/>
          <w:shd w:val="clear" w:color="auto" w:fill="FFFFFF"/>
        </w:rPr>
        <w:t>采购人、采购代理机构参加</w:t>
      </w:r>
      <w:r>
        <w:rPr>
          <w:rFonts w:hint="eastAsia" w:ascii="宋体" w:hAnsi="宋体" w:eastAsia="宋体" w:cs="宋体"/>
          <w:sz w:val="24"/>
          <w:szCs w:val="24"/>
          <w:highlight w:val="none"/>
        </w:rPr>
        <w:t>宴请、旅游、娱乐。不为</w:t>
      </w:r>
      <w:r>
        <w:rPr>
          <w:rFonts w:hint="eastAsia" w:ascii="宋体" w:hAnsi="宋体" w:eastAsia="宋体" w:cs="宋体"/>
          <w:sz w:val="24"/>
          <w:szCs w:val="24"/>
          <w:highlight w:val="none"/>
          <w:shd w:val="clear" w:color="auto" w:fill="FFFFFF"/>
        </w:rPr>
        <w:t>采购人、采购代理机构</w:t>
      </w:r>
      <w:r>
        <w:rPr>
          <w:rFonts w:hint="eastAsia" w:ascii="宋体" w:hAnsi="宋体" w:eastAsia="宋体" w:cs="宋体"/>
          <w:sz w:val="24"/>
          <w:szCs w:val="24"/>
          <w:highlight w:val="none"/>
        </w:rPr>
        <w:t>报销应当由个人承担的费用。</w:t>
      </w:r>
    </w:p>
    <w:p w14:paraId="1B6FEAA2">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4.认真执行双方签订的政府采购合同文件，自觉按合同办事。不违规将政府采购合同转包。诚信、确实、全面履行自身合同义务，不擅自变更、中止或者终止政府采购合同。</w:t>
      </w:r>
    </w:p>
    <w:p w14:paraId="671816F2">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5.不提供假冒伪劣产品。</w:t>
      </w:r>
    </w:p>
    <w:p w14:paraId="1A53740E">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6.依法依规、有凭有据开展政府采购质疑和投诉。</w:t>
      </w:r>
    </w:p>
    <w:p w14:paraId="67148C40">
      <w:pPr>
        <w:pStyle w:val="8"/>
        <w:snapToGrid w:val="0"/>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7.如违反《中华人民共和国政府采购法》及相关法律法规，自觉接受政府采购监管部门依法依规处理。</w:t>
      </w:r>
    </w:p>
    <w:p w14:paraId="7E7CB6C1">
      <w:pPr>
        <w:pStyle w:val="8"/>
        <w:snapToGrid w:val="0"/>
        <w:spacing w:line="5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36B5546">
      <w:pPr>
        <w:pStyle w:val="8"/>
        <w:snapToGrid w:val="0"/>
        <w:spacing w:line="680" w:lineRule="exact"/>
        <w:ind w:left="-708" w:leftChars="-33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 购 人（盖章）：                      中标、成交供应商（盖章）：</w:t>
      </w:r>
    </w:p>
    <w:p w14:paraId="793991E8">
      <w:pPr>
        <w:snapToGrid w:val="0"/>
        <w:spacing w:line="680" w:lineRule="exact"/>
        <w:ind w:left="3" w:leftChars="-107" w:hanging="228" w:hangingChars="95"/>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单位负责人或授权代表（签字）：           单位负责人或授权代表（签字）：</w:t>
      </w:r>
    </w:p>
    <w:p w14:paraId="0A69344A">
      <w:pPr>
        <w:snapToGrid w:val="0"/>
        <w:spacing w:line="680" w:lineRule="exact"/>
        <w:ind w:left="3" w:leftChars="-107" w:hanging="228" w:hangingChars="9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年  月  日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 期：  年  月  日   </w:t>
      </w:r>
    </w:p>
    <w:p w14:paraId="5705BED9">
      <w:pPr>
        <w:rPr>
          <w:rFonts w:hint="eastAsia" w:ascii="宋体" w:hAnsi="宋体" w:eastAsia="宋体" w:cs="宋体"/>
          <w:highlight w:val="none"/>
        </w:rPr>
      </w:pPr>
    </w:p>
    <w:p w14:paraId="60D7C707">
      <w:pPr>
        <w:pStyle w:val="12"/>
        <w:rPr>
          <w:rFonts w:hint="eastAsia" w:ascii="宋体" w:hAnsi="宋体" w:eastAsia="宋体" w:cs="宋体"/>
          <w:highlight w:val="none"/>
        </w:rPr>
      </w:pPr>
    </w:p>
    <w:p w14:paraId="6823CACD">
      <w:pPr>
        <w:pStyle w:val="10"/>
        <w:rPr>
          <w:rFonts w:hint="eastAsia" w:ascii="宋体" w:hAnsi="宋体" w:eastAsia="宋体" w:cs="宋体"/>
          <w:highlight w:val="none"/>
        </w:rPr>
      </w:pPr>
    </w:p>
    <w:p w14:paraId="340EE639">
      <w:pPr>
        <w:rPr>
          <w:rFonts w:hint="eastAsia" w:ascii="宋体" w:hAnsi="宋体" w:eastAsia="宋体" w:cs="宋体"/>
          <w:highlight w:val="none"/>
        </w:rPr>
      </w:pPr>
    </w:p>
    <w:p w14:paraId="4DFA8FA5">
      <w:pPr>
        <w:rPr>
          <w:rFonts w:hint="eastAsia" w:ascii="宋体" w:hAnsi="宋体" w:eastAsia="宋体" w:cs="宋体"/>
          <w:highlight w:val="none"/>
        </w:rPr>
      </w:pPr>
    </w:p>
    <w:p w14:paraId="7B43FCE1">
      <w:pPr>
        <w:rPr>
          <w:rFonts w:hint="eastAsia" w:ascii="宋体" w:hAnsi="宋体" w:eastAsia="宋体" w:cs="宋体"/>
          <w:highlight w:val="none"/>
        </w:rPr>
      </w:pPr>
    </w:p>
    <w:p w14:paraId="75B7DEC5">
      <w:pPr>
        <w:rPr>
          <w:rFonts w:hint="eastAsia" w:ascii="宋体" w:hAnsi="宋体" w:eastAsia="宋体" w:cs="宋体"/>
          <w:highlight w:val="none"/>
        </w:rPr>
      </w:pPr>
    </w:p>
    <w:p w14:paraId="32888744">
      <w:pPr>
        <w:rPr>
          <w:rFonts w:hint="eastAsia" w:ascii="宋体" w:hAnsi="宋体" w:eastAsia="宋体" w:cs="宋体"/>
          <w:highlight w:val="none"/>
        </w:rPr>
      </w:pPr>
    </w:p>
    <w:p w14:paraId="5075AF14">
      <w:pPr>
        <w:rPr>
          <w:rFonts w:hint="eastAsia" w:ascii="宋体" w:hAnsi="宋体" w:eastAsia="宋体" w:cs="宋体"/>
          <w:highlight w:val="none"/>
        </w:rPr>
      </w:pPr>
    </w:p>
    <w:p w14:paraId="59482504">
      <w:pPr>
        <w:rPr>
          <w:rFonts w:hint="eastAsia" w:ascii="宋体" w:hAnsi="宋体" w:eastAsia="宋体" w:cs="宋体"/>
          <w:highlight w:val="none"/>
        </w:rPr>
      </w:pPr>
    </w:p>
    <w:p w14:paraId="01ACC6A7">
      <w:pPr>
        <w:rPr>
          <w:rFonts w:hint="eastAsia" w:ascii="宋体" w:hAnsi="宋体" w:eastAsia="宋体" w:cs="宋体"/>
          <w:highlight w:val="none"/>
        </w:rPr>
      </w:pPr>
    </w:p>
    <w:p w14:paraId="7D056571">
      <w:pPr>
        <w:rPr>
          <w:rFonts w:hint="eastAsia" w:ascii="宋体" w:hAnsi="宋体" w:eastAsia="宋体" w:cs="宋体"/>
          <w:highlight w:val="none"/>
        </w:rPr>
      </w:pPr>
    </w:p>
    <w:p w14:paraId="37437FB8">
      <w:pPr>
        <w:rPr>
          <w:rFonts w:hint="eastAsia" w:ascii="宋体" w:hAnsi="宋体" w:eastAsia="宋体" w:cs="宋体"/>
          <w:highlight w:val="none"/>
        </w:rPr>
      </w:pPr>
    </w:p>
    <w:p w14:paraId="6767AEA9">
      <w:pPr>
        <w:rPr>
          <w:rFonts w:hint="eastAsia" w:ascii="宋体" w:hAnsi="宋体" w:eastAsia="宋体" w:cs="宋体"/>
          <w:highlight w:val="none"/>
        </w:rPr>
      </w:pPr>
    </w:p>
    <w:p w14:paraId="2570F116">
      <w:pPr>
        <w:rPr>
          <w:rFonts w:hint="eastAsia" w:ascii="宋体" w:hAnsi="宋体" w:eastAsia="宋体" w:cs="宋体"/>
          <w:highlight w:val="none"/>
        </w:rPr>
      </w:pPr>
    </w:p>
    <w:p w14:paraId="47CC1243">
      <w:pPr>
        <w:rPr>
          <w:rFonts w:hint="eastAsia" w:ascii="宋体" w:hAnsi="宋体" w:eastAsia="宋体" w:cs="宋体"/>
          <w:highlight w:val="none"/>
        </w:rPr>
      </w:pPr>
    </w:p>
    <w:p w14:paraId="5B633BF1">
      <w:pPr>
        <w:numPr>
          <w:ilvl w:val="0"/>
          <w:numId w:val="0"/>
        </w:numPr>
        <w:spacing w:line="420" w:lineRule="exact"/>
        <w:ind w:left="0" w:leftChars="0" w:firstLine="0" w:firstLineChars="0"/>
        <w:jc w:val="center"/>
        <w:outlineLvl w:val="0"/>
        <w:rPr>
          <w:rFonts w:hint="eastAsia" w:ascii="宋体" w:hAnsi="宋体" w:eastAsia="宋体" w:cs="宋体"/>
          <w:b/>
          <w:sz w:val="30"/>
          <w:szCs w:val="30"/>
          <w:highlight w:val="none"/>
          <w:lang w:val="en-US" w:eastAsia="zh-CN" w:bidi="ar-SA"/>
        </w:rPr>
      </w:pPr>
    </w:p>
    <w:p w14:paraId="7BD67FD0">
      <w:pPr>
        <w:numPr>
          <w:ilvl w:val="0"/>
          <w:numId w:val="0"/>
        </w:numPr>
        <w:spacing w:line="420" w:lineRule="exact"/>
        <w:ind w:left="0" w:leftChars="0" w:firstLine="0" w:firstLineChars="0"/>
        <w:jc w:val="center"/>
        <w:outlineLvl w:val="0"/>
        <w:rPr>
          <w:rFonts w:hint="eastAsia" w:ascii="宋体" w:hAnsi="宋体" w:eastAsia="宋体" w:cs="宋体"/>
          <w:b/>
          <w:sz w:val="30"/>
          <w:szCs w:val="30"/>
          <w:highlight w:val="none"/>
        </w:rPr>
      </w:pPr>
      <w:r>
        <w:rPr>
          <w:rFonts w:hint="eastAsia" w:ascii="宋体" w:hAnsi="宋体" w:eastAsia="宋体" w:cs="宋体"/>
          <w:b/>
          <w:sz w:val="30"/>
          <w:szCs w:val="30"/>
          <w:highlight w:val="none"/>
          <w:lang w:val="en-US" w:eastAsia="zh-CN" w:bidi="ar-SA"/>
        </w:rPr>
        <w:t>第五章</w:t>
      </w:r>
      <w:r>
        <w:rPr>
          <w:rFonts w:hint="eastAsia" w:ascii="宋体" w:hAnsi="宋体" w:eastAsia="宋体" w:cs="宋体"/>
          <w:b/>
          <w:sz w:val="30"/>
          <w:szCs w:val="30"/>
          <w:highlight w:val="none"/>
        </w:rPr>
        <w:t xml:space="preserve"> </w:t>
      </w:r>
      <w:r>
        <w:rPr>
          <w:rFonts w:hint="eastAsia" w:ascii="宋体" w:hAnsi="宋体" w:eastAsia="宋体" w:cs="宋体"/>
          <w:b/>
          <w:sz w:val="30"/>
          <w:szCs w:val="30"/>
          <w:highlight w:val="none"/>
          <w:lang w:val="en-US" w:eastAsia="zh-CN"/>
        </w:rPr>
        <w:t xml:space="preserve"> </w:t>
      </w:r>
      <w:r>
        <w:rPr>
          <w:rFonts w:hint="eastAsia" w:ascii="宋体" w:hAnsi="宋体" w:eastAsia="宋体" w:cs="宋体"/>
          <w:b/>
          <w:sz w:val="30"/>
          <w:szCs w:val="30"/>
          <w:highlight w:val="none"/>
        </w:rPr>
        <w:t>磋商项目采购需求</w:t>
      </w:r>
    </w:p>
    <w:p w14:paraId="0AAC38F4">
      <w:pPr>
        <w:widowControl w:val="0"/>
        <w:numPr>
          <w:ilvl w:val="0"/>
          <w:numId w:val="0"/>
        </w:numPr>
        <w:spacing w:line="420" w:lineRule="exact"/>
        <w:jc w:val="both"/>
        <w:rPr>
          <w:rFonts w:hint="eastAsia" w:ascii="宋体" w:hAnsi="宋体" w:eastAsia="宋体" w:cs="宋体"/>
          <w:sz w:val="24"/>
          <w:szCs w:val="24"/>
          <w:highlight w:val="none"/>
          <w:lang w:val="en-US" w:eastAsia="zh-CN"/>
        </w:rPr>
      </w:pPr>
    </w:p>
    <w:p w14:paraId="449CF365">
      <w:pPr>
        <w:spacing w:line="5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1</w:t>
      </w:r>
      <w:r>
        <w:rPr>
          <w:rFonts w:hint="eastAsia" w:ascii="宋体" w:hAnsi="宋体" w:eastAsia="宋体" w:cs="宋体"/>
          <w:b/>
          <w:sz w:val="28"/>
          <w:szCs w:val="28"/>
          <w:highlight w:val="none"/>
        </w:rPr>
        <w:t>、项目</w:t>
      </w:r>
      <w:bookmarkStart w:id="11" w:name="_Toc182647324"/>
      <w:bookmarkStart w:id="12" w:name="_Toc207611297"/>
      <w:bookmarkStart w:id="13" w:name="_Toc207600555"/>
      <w:bookmarkStart w:id="14" w:name="_Toc197855459"/>
      <w:bookmarkStart w:id="15" w:name="_Toc337714900"/>
      <w:bookmarkStart w:id="16" w:name="_Toc197858377"/>
      <w:r>
        <w:rPr>
          <w:rFonts w:hint="eastAsia" w:ascii="宋体" w:hAnsi="宋体" w:eastAsia="宋体" w:cs="宋体"/>
          <w:b/>
          <w:sz w:val="28"/>
          <w:szCs w:val="28"/>
          <w:highlight w:val="none"/>
        </w:rPr>
        <w:t>现状</w:t>
      </w:r>
      <w:bookmarkEnd w:id="11"/>
      <w:bookmarkEnd w:id="12"/>
      <w:bookmarkEnd w:id="13"/>
      <w:bookmarkEnd w:id="14"/>
      <w:bookmarkEnd w:id="15"/>
      <w:bookmarkEnd w:id="16"/>
    </w:p>
    <w:p w14:paraId="7FF82803">
      <w:pPr>
        <w:spacing w:line="460" w:lineRule="exact"/>
        <w:ind w:firstLine="482" w:firstLineChars="200"/>
        <w:rPr>
          <w:rFonts w:hint="eastAsia" w:ascii="宋体" w:hAnsi="宋体" w:eastAsia="宋体" w:cs="宋体"/>
          <w:b/>
          <w:bCs/>
          <w:kern w:val="0"/>
          <w:sz w:val="24"/>
          <w:highlight w:val="none"/>
          <w:lang w:val="zh-CN"/>
        </w:rPr>
      </w:pPr>
      <w:r>
        <w:rPr>
          <w:rFonts w:hint="eastAsia" w:ascii="宋体" w:hAnsi="宋体" w:eastAsia="宋体" w:cs="宋体"/>
          <w:b/>
          <w:bCs/>
          <w:kern w:val="0"/>
          <w:sz w:val="24"/>
          <w:highlight w:val="none"/>
          <w:lang w:val="zh-CN"/>
        </w:rPr>
        <w:t>（</w:t>
      </w:r>
      <w:r>
        <w:rPr>
          <w:rFonts w:hint="eastAsia" w:ascii="宋体" w:hAnsi="宋体" w:eastAsia="宋体" w:cs="宋体"/>
          <w:b/>
          <w:bCs/>
          <w:kern w:val="0"/>
          <w:sz w:val="24"/>
          <w:highlight w:val="none"/>
          <w:lang w:val="en-US" w:eastAsia="zh-CN"/>
        </w:rPr>
        <w:t>1</w:t>
      </w:r>
      <w:r>
        <w:rPr>
          <w:rFonts w:hint="eastAsia" w:ascii="宋体" w:hAnsi="宋体" w:eastAsia="宋体" w:cs="宋体"/>
          <w:b/>
          <w:bCs/>
          <w:kern w:val="0"/>
          <w:sz w:val="24"/>
          <w:highlight w:val="none"/>
          <w:lang w:val="zh-CN"/>
        </w:rPr>
        <w:t>）、本次招标包括以下内容：</w:t>
      </w:r>
    </w:p>
    <w:p w14:paraId="3D119206">
      <w:pPr>
        <w:keepNext w:val="0"/>
        <w:keepLines w:val="0"/>
        <w:numPr>
          <w:ilvl w:val="0"/>
          <w:numId w:val="0"/>
        </w:numPr>
        <w:suppressLineNumbers w:val="0"/>
        <w:spacing w:before="0" w:beforeAutospacing="0" w:after="0" w:afterAutospacing="0"/>
        <w:ind w:left="0" w:right="0" w:firstLine="240" w:firstLineChars="100"/>
        <w:jc w:val="both"/>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校园卫生保洁、绿化养护、水电工</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木工或泥工</w:t>
      </w:r>
    </w:p>
    <w:p w14:paraId="1B7542F5">
      <w:pPr>
        <w:spacing w:line="460" w:lineRule="exact"/>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注：本次招标不拆包。</w:t>
      </w:r>
    </w:p>
    <w:p w14:paraId="1F637C64">
      <w:pPr>
        <w:spacing w:line="460" w:lineRule="exact"/>
        <w:ind w:firstLine="482" w:firstLineChars="200"/>
        <w:rPr>
          <w:rFonts w:hint="eastAsia" w:ascii="宋体" w:hAnsi="宋体" w:eastAsia="宋体" w:cs="宋体"/>
          <w:b/>
          <w:bCs/>
          <w:kern w:val="0"/>
          <w:sz w:val="24"/>
          <w:highlight w:val="none"/>
          <w:lang w:val="zh-CN"/>
        </w:rPr>
      </w:pPr>
      <w:r>
        <w:rPr>
          <w:rFonts w:hint="eastAsia" w:ascii="宋体" w:hAnsi="宋体" w:eastAsia="宋体" w:cs="宋体"/>
          <w:b/>
          <w:bCs/>
          <w:kern w:val="0"/>
          <w:sz w:val="24"/>
          <w:highlight w:val="none"/>
          <w:lang w:val="zh-CN"/>
        </w:rPr>
        <w:t>（</w:t>
      </w:r>
      <w:r>
        <w:rPr>
          <w:rFonts w:hint="eastAsia" w:ascii="宋体" w:hAnsi="宋体" w:eastAsia="宋体" w:cs="宋体"/>
          <w:b/>
          <w:bCs/>
          <w:kern w:val="0"/>
          <w:sz w:val="24"/>
          <w:highlight w:val="none"/>
          <w:lang w:val="en-US" w:eastAsia="zh-CN"/>
        </w:rPr>
        <w:t>2</w:t>
      </w:r>
      <w:r>
        <w:rPr>
          <w:rFonts w:hint="eastAsia" w:ascii="宋体" w:hAnsi="宋体" w:eastAsia="宋体" w:cs="宋体"/>
          <w:b/>
          <w:bCs/>
          <w:kern w:val="0"/>
          <w:sz w:val="24"/>
          <w:highlight w:val="none"/>
          <w:lang w:val="zh-CN"/>
        </w:rPr>
        <w:t>）、招标项目概况：</w:t>
      </w:r>
    </w:p>
    <w:p w14:paraId="4C4B96FB">
      <w:pPr>
        <w:spacing w:line="460" w:lineRule="exact"/>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江苏省盱眙中等专业学校位于</w:t>
      </w:r>
      <w:r>
        <w:rPr>
          <w:rFonts w:hint="eastAsia" w:ascii="宋体" w:hAnsi="宋体" w:eastAsia="宋体" w:cs="宋体"/>
          <w:kern w:val="0"/>
          <w:sz w:val="24"/>
          <w:highlight w:val="none"/>
          <w:u w:val="single"/>
        </w:rPr>
        <w:t>山水大道以北，十里营大道以南</w:t>
      </w:r>
      <w:r>
        <w:rPr>
          <w:rFonts w:hint="eastAsia" w:ascii="宋体" w:hAnsi="宋体" w:eastAsia="宋体" w:cs="宋体"/>
          <w:sz w:val="24"/>
          <w:highlight w:val="none"/>
        </w:rPr>
        <w:t>,建有教学楼6栋、综合楼1栋、实训楼1栋、</w:t>
      </w:r>
      <w:r>
        <w:rPr>
          <w:rFonts w:hint="eastAsia" w:ascii="宋体" w:hAnsi="宋体" w:eastAsia="宋体" w:cs="宋体"/>
          <w:sz w:val="24"/>
          <w:highlight w:val="none"/>
          <w:lang w:val="en-US" w:eastAsia="zh-CN"/>
        </w:rPr>
        <w:t>学生</w:t>
      </w:r>
      <w:r>
        <w:rPr>
          <w:rFonts w:hint="eastAsia" w:ascii="宋体" w:hAnsi="宋体" w:eastAsia="宋体" w:cs="宋体"/>
          <w:sz w:val="24"/>
          <w:highlight w:val="none"/>
        </w:rPr>
        <w:t>宿舍楼各</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栋，南、北大门、创业一条街11栋、校企合作园、食堂、</w:t>
      </w:r>
      <w:r>
        <w:rPr>
          <w:rFonts w:hint="eastAsia" w:ascii="宋体" w:hAnsi="宋体" w:eastAsia="宋体" w:cs="宋体"/>
          <w:sz w:val="24"/>
          <w:highlight w:val="none"/>
          <w:lang w:val="en-US" w:eastAsia="zh-CN"/>
        </w:rPr>
        <w:t>运动场</w:t>
      </w:r>
      <w:r>
        <w:rPr>
          <w:rFonts w:hint="eastAsia" w:ascii="宋体" w:hAnsi="宋体" w:eastAsia="宋体" w:cs="宋体"/>
          <w:sz w:val="24"/>
          <w:highlight w:val="none"/>
        </w:rPr>
        <w:t>、报告厅。</w:t>
      </w:r>
    </w:p>
    <w:p w14:paraId="44F40B94">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2、物业服务范围</w:t>
      </w:r>
    </w:p>
    <w:p w14:paraId="0D763511">
      <w:pPr>
        <w:pStyle w:val="16"/>
        <w:keepNext w:val="0"/>
        <w:keepLines w:val="0"/>
        <w:pageBreakBefore w:val="0"/>
        <w:numPr>
          <w:ilvl w:val="0"/>
          <w:numId w:val="0"/>
        </w:numPr>
        <w:kinsoku/>
        <w:wordWrap/>
        <w:overflowPunct/>
        <w:topLinePunct w:val="0"/>
        <w:bidi w:val="0"/>
        <w:spacing w:line="44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 xml:space="preserve">（1）卫生保洁 </w:t>
      </w:r>
    </w:p>
    <w:p w14:paraId="19431122">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①校园公共区域保洁包含食堂周边、宿舍周边②综合楼公共区域保洁包含五楼办公区域；③会议室、校史馆、多功能报告厅、综合楼四楼机房保洁；③创业一条街、校企合作园卫生保洁；④所有公共卫生间的保洁；⑤体育运动区（体育看台、操场、篮球场、排球场、羽毛球场、乒乓球场地等）的保洁；⑥所有室内外下水、雨污水井疏通、堵塞开挖维修（食堂除外）。⑦楼顶垃圾、杂草清理，下水疏通；⑧垃圾清运，做到垃圾日产日清；⑨其他临时性清理保洁任务等；⑩重大活动的突击服务；⑪防疫消杀和消毒灭害。</w:t>
      </w:r>
    </w:p>
    <w:p w14:paraId="0A2CAD7C">
      <w:pPr>
        <w:pStyle w:val="16"/>
        <w:keepNext w:val="0"/>
        <w:keepLines w:val="0"/>
        <w:pageBreakBefore w:val="0"/>
        <w:numPr>
          <w:ilvl w:val="0"/>
          <w:numId w:val="0"/>
        </w:numPr>
        <w:kinsoku/>
        <w:wordWrap/>
        <w:overflowPunct/>
        <w:topLinePunct w:val="0"/>
        <w:bidi w:val="0"/>
        <w:spacing w:line="440" w:lineRule="exact"/>
        <w:ind w:left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（2）校园零星工程维修：</w:t>
      </w:r>
    </w:p>
    <w:p w14:paraId="3A554E9F">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①校园地面地砖出现损坏要及时更换到位；②校园建筑墙体2米及以下（含所有楼层内墙2米及以下的墙体）的出现损坏要及时维修更换到位；③下水盖板、窨井盖等更换维修；④其他木工、泥瓦工类零星维修；</w:t>
      </w:r>
    </w:p>
    <w:p w14:paraId="402AD34F">
      <w:pPr>
        <w:pStyle w:val="16"/>
        <w:keepNext w:val="0"/>
        <w:keepLines w:val="0"/>
        <w:pageBreakBefore w:val="0"/>
        <w:numPr>
          <w:ilvl w:val="0"/>
          <w:numId w:val="0"/>
        </w:numPr>
        <w:kinsoku/>
        <w:wordWrap/>
        <w:overflowPunct/>
        <w:topLinePunct w:val="0"/>
        <w:bidi w:val="0"/>
        <w:spacing w:line="440" w:lineRule="exact"/>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（3）校园区域绿化服务</w:t>
      </w:r>
    </w:p>
    <w:p w14:paraId="5E759584">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校园整个区域（包含东门围墙外绿化带）的乔木、灌木、地被草坪、花坛花卉、设施维护、除草治虫、适时浇水、绿地保护、施肥、绿化维护产生的残枝败叶外运等。绿化管护期：3年</w:t>
      </w:r>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包含服务期内新增的绿化</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w:t>
      </w:r>
    </w:p>
    <w:p w14:paraId="219E66A7">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3、物业管理服务内容及标准</w:t>
      </w:r>
    </w:p>
    <w:p w14:paraId="1275BA88">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物业管理服务包括基本服务、保洁服务、校园零星工程维修服务、校园区域绿化服务等。</w:t>
      </w:r>
    </w:p>
    <w:p w14:paraId="00C67928">
      <w:pPr>
        <w:pStyle w:val="16"/>
        <w:keepNext w:val="0"/>
        <w:keepLines w:val="0"/>
        <w:pageBreakBefore w:val="0"/>
        <w:numPr>
          <w:ilvl w:val="0"/>
          <w:numId w:val="0"/>
        </w:numPr>
        <w:kinsoku/>
        <w:wordWrap/>
        <w:overflowPunct/>
        <w:topLinePunct w:val="0"/>
        <w:bidi w:val="0"/>
        <w:spacing w:line="440" w:lineRule="exact"/>
        <w:ind w:firstLine="480" w:firstLineChars="200"/>
        <w:rPr>
          <w:rFonts w:hint="eastAsia" w:ascii="宋体" w:hAnsi="宋体" w:eastAsia="宋体" w:cs="宋体"/>
          <w:b w:val="0"/>
          <w:bCs w:val="0"/>
          <w:color w:val="auto"/>
          <w:kern w:val="0"/>
          <w:sz w:val="24"/>
          <w:szCs w:val="24"/>
          <w:highlight w:val="none"/>
          <w:lang w:val="en-US" w:eastAsia="zh-CN"/>
        </w:rPr>
      </w:pPr>
    </w:p>
    <w:p w14:paraId="59BEEBAC">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3.1基本服务</w:t>
      </w:r>
    </w:p>
    <w:tbl>
      <w:tblPr>
        <w:tblStyle w:val="14"/>
        <w:tblW w:w="8980"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4"/>
        <w:gridCol w:w="6755"/>
      </w:tblGrid>
      <w:tr w14:paraId="14E6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top"/>
          </w:tcPr>
          <w:p w14:paraId="7F32F948">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序号</w:t>
            </w:r>
          </w:p>
        </w:tc>
        <w:tc>
          <w:tcPr>
            <w:tcW w:w="1484" w:type="dxa"/>
            <w:noWrap w:val="0"/>
            <w:vAlign w:val="top"/>
          </w:tcPr>
          <w:p w14:paraId="00DC593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服务内容</w:t>
            </w:r>
          </w:p>
        </w:tc>
        <w:tc>
          <w:tcPr>
            <w:tcW w:w="6755" w:type="dxa"/>
            <w:noWrap w:val="0"/>
            <w:vAlign w:val="top"/>
          </w:tcPr>
          <w:p w14:paraId="642C641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服务标准</w:t>
            </w:r>
          </w:p>
        </w:tc>
      </w:tr>
      <w:tr w14:paraId="2FA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21B28CD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w:t>
            </w:r>
          </w:p>
        </w:tc>
        <w:tc>
          <w:tcPr>
            <w:tcW w:w="1484" w:type="dxa"/>
            <w:noWrap w:val="0"/>
            <w:vAlign w:val="center"/>
          </w:tcPr>
          <w:p w14:paraId="09FB06D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目标与责任</w:t>
            </w:r>
          </w:p>
        </w:tc>
        <w:tc>
          <w:tcPr>
            <w:tcW w:w="6755" w:type="dxa"/>
            <w:noWrap w:val="0"/>
            <w:vAlign w:val="top"/>
          </w:tcPr>
          <w:p w14:paraId="15EA9B5E">
            <w:pPr>
              <w:pStyle w:val="16"/>
              <w:keepNext w:val="0"/>
              <w:keepLines w:val="0"/>
              <w:pageBreakBefore w:val="0"/>
              <w:widowControl/>
              <w:numPr>
                <w:ilvl w:val="0"/>
                <w:numId w:val="3"/>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结合采购人要求及物业服务实际情况，制定年度管理目标，明确责任分工，并制定配套实施方案。</w:t>
            </w:r>
          </w:p>
          <w:p w14:paraId="7127A10C">
            <w:pPr>
              <w:pStyle w:val="16"/>
              <w:keepNext w:val="0"/>
              <w:keepLines w:val="0"/>
              <w:pageBreakBefore w:val="0"/>
              <w:widowControl/>
              <w:numPr>
                <w:ilvl w:val="0"/>
                <w:numId w:val="3"/>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配合采购人各类重大活动现场保洁、秩序维护、会务保障等。</w:t>
            </w:r>
          </w:p>
        </w:tc>
      </w:tr>
      <w:tr w14:paraId="5BD1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06E5230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484" w:type="dxa"/>
            <w:noWrap w:val="0"/>
            <w:vAlign w:val="center"/>
          </w:tcPr>
          <w:p w14:paraId="78C862B5">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服务人员</w:t>
            </w:r>
          </w:p>
          <w:p w14:paraId="3F62EC73">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要求</w:t>
            </w:r>
          </w:p>
        </w:tc>
        <w:tc>
          <w:tcPr>
            <w:tcW w:w="6755" w:type="dxa"/>
            <w:noWrap w:val="0"/>
            <w:vAlign w:val="top"/>
          </w:tcPr>
          <w:p w14:paraId="0269F1B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（1）每季度至少开展1次岗位技能、职业素质、服务知识、客户文化、绿色节能环保等教育培训，并进行适当形式的考核。</w:t>
            </w:r>
          </w:p>
          <w:p w14:paraId="210C35E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（2）根据采购人要求对服务人员进行从业资格审查，审查结果向采购人报备。</w:t>
            </w:r>
          </w:p>
          <w:p w14:paraId="3BC35AE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32AE6E3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rPr>
              <w:t>（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5）着装分类统一，佩戴标识。仪容整洁、姿态端正、举止文明。用语文明礼貌，态度温和耐心。</w:t>
            </w:r>
          </w:p>
        </w:tc>
      </w:tr>
      <w:tr w14:paraId="0666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7661708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w:t>
            </w:r>
          </w:p>
        </w:tc>
        <w:tc>
          <w:tcPr>
            <w:tcW w:w="1484" w:type="dxa"/>
            <w:noWrap w:val="0"/>
            <w:vAlign w:val="center"/>
          </w:tcPr>
          <w:p w14:paraId="7F7CF60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保密和思想政治教育</w:t>
            </w:r>
          </w:p>
        </w:tc>
        <w:tc>
          <w:tcPr>
            <w:tcW w:w="6755" w:type="dxa"/>
            <w:noWrap w:val="0"/>
            <w:vAlign w:val="top"/>
          </w:tcPr>
          <w:p w14:paraId="4AB5ABC9">
            <w:pPr>
              <w:pStyle w:val="16"/>
              <w:keepNext w:val="0"/>
              <w:keepLines w:val="0"/>
              <w:pageBreakBefore w:val="0"/>
              <w:widowControl/>
              <w:numPr>
                <w:ilvl w:val="0"/>
                <w:numId w:val="4"/>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建立保密管理制度。制度内容应当包括但不限于：①明确重点要害岗位保密职责。②对涉密工作岗位的保密要求。</w:t>
            </w:r>
          </w:p>
          <w:p w14:paraId="48B15E2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（2）根据采购人要求与涉密工作岗位的服务人员签订保密协议。保密协议应当向采购人报备。</w:t>
            </w:r>
          </w:p>
          <w:p w14:paraId="48B0878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（3）发现服务人员违法违规或重大过失，及时报告采购人，并采取必要补救措施。</w:t>
            </w:r>
          </w:p>
        </w:tc>
      </w:tr>
      <w:tr w14:paraId="10E0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4D673712">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w:t>
            </w:r>
          </w:p>
        </w:tc>
        <w:tc>
          <w:tcPr>
            <w:tcW w:w="1484" w:type="dxa"/>
            <w:noWrap w:val="0"/>
            <w:vAlign w:val="center"/>
          </w:tcPr>
          <w:p w14:paraId="05E2362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档案管理</w:t>
            </w:r>
          </w:p>
        </w:tc>
        <w:tc>
          <w:tcPr>
            <w:tcW w:w="6755" w:type="dxa"/>
            <w:noWrap w:val="0"/>
            <w:vAlign w:val="top"/>
          </w:tcPr>
          <w:p w14:paraId="1161FCEF">
            <w:pPr>
              <w:pStyle w:val="16"/>
              <w:keepNext w:val="0"/>
              <w:keepLines w:val="0"/>
              <w:pageBreakBefore w:val="0"/>
              <w:widowControl/>
              <w:numPr>
                <w:ilvl w:val="0"/>
                <w:numId w:val="5"/>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建立物业信息，准确、及时地对文件资料和服务记录进行归档保存，并确保其物理安全。</w:t>
            </w:r>
          </w:p>
          <w:p w14:paraId="5C305081">
            <w:pPr>
              <w:pStyle w:val="16"/>
              <w:keepNext w:val="0"/>
              <w:keepLines w:val="0"/>
              <w:pageBreakBefore w:val="0"/>
              <w:widowControl/>
              <w:numPr>
                <w:ilvl w:val="0"/>
                <w:numId w:val="5"/>
              </w:numPr>
              <w:suppressLineNumbers w:val="0"/>
              <w:kinsoku/>
              <w:wordWrap/>
              <w:overflowPunct/>
              <w:topLinePunct w:val="0"/>
              <w:bidi w:val="0"/>
              <w:spacing w:before="0" w:beforeAutospacing="0" w:after="0" w:afterAutospacing="0" w:line="440" w:lineRule="exact"/>
              <w:ind w:left="0" w:leftChars="0" w:right="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档案和记录齐全，包括但不限于：①采购人建议与投诉等。教育培训和考核记录。保密、思想政治教育培训记录。②校园零星工程维修：维修记录、巡查记录、维修档案等。③保洁服务：工作日志、清洁检查表、用品清单、客户反馈表等。④其他：客户信息、财务明细、合同协议、信报信息登记、大件物品进出登记等。</w:t>
            </w:r>
          </w:p>
          <w:p w14:paraId="294AB2BC">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（3）遵守采购人的信息、档案资料保密要求，未经许可，不得将建筑物平面图等资料转作其他用途或向其他单位、个人提供。</w:t>
            </w:r>
          </w:p>
          <w:p w14:paraId="2FEF52F5">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（4）履约结束后，相关资料交还采购人，采购人按政府采购相关规定存档。</w:t>
            </w:r>
          </w:p>
        </w:tc>
      </w:tr>
      <w:tr w14:paraId="5644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332AF0E3">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w:t>
            </w:r>
          </w:p>
        </w:tc>
        <w:tc>
          <w:tcPr>
            <w:tcW w:w="1484" w:type="dxa"/>
            <w:noWrap w:val="0"/>
            <w:vAlign w:val="center"/>
          </w:tcPr>
          <w:p w14:paraId="0678E693">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服务改进</w:t>
            </w:r>
          </w:p>
        </w:tc>
        <w:tc>
          <w:tcPr>
            <w:tcW w:w="6755" w:type="dxa"/>
            <w:noWrap w:val="0"/>
            <w:vAlign w:val="top"/>
          </w:tcPr>
          <w:p w14:paraId="2C13E405">
            <w:pPr>
              <w:pStyle w:val="16"/>
              <w:keepNext w:val="0"/>
              <w:keepLines w:val="0"/>
              <w:pageBreakBefore w:val="0"/>
              <w:widowControl/>
              <w:numPr>
                <w:ilvl w:val="0"/>
                <w:numId w:val="6"/>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明确负责人，定期对物业服务过程进行自查，结合反馈意见与评价结果采取改进措施，持续提升管理与服务水平。</w:t>
            </w:r>
          </w:p>
          <w:p w14:paraId="6E3BB5E5">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（2）对不合格服务进行控制，对不合格服务的原因进行识别和分析，及时采取纠正措施，消除不合格的原因，防止不合格再发生。</w:t>
            </w:r>
          </w:p>
        </w:tc>
      </w:tr>
      <w:tr w14:paraId="4CFF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noWrap w:val="0"/>
            <w:vAlign w:val="center"/>
          </w:tcPr>
          <w:p w14:paraId="58E918F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6</w:t>
            </w:r>
          </w:p>
        </w:tc>
        <w:tc>
          <w:tcPr>
            <w:tcW w:w="1484" w:type="dxa"/>
            <w:noWrap w:val="0"/>
            <w:vAlign w:val="center"/>
          </w:tcPr>
          <w:p w14:paraId="76521205">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重大活动后勤保障</w:t>
            </w:r>
          </w:p>
        </w:tc>
        <w:tc>
          <w:tcPr>
            <w:tcW w:w="6755" w:type="dxa"/>
            <w:noWrap w:val="0"/>
            <w:vAlign w:val="top"/>
          </w:tcPr>
          <w:p w14:paraId="635E3FAB">
            <w:pPr>
              <w:pStyle w:val="16"/>
              <w:keepNext w:val="0"/>
              <w:keepLines w:val="0"/>
              <w:pageBreakBefore w:val="0"/>
              <w:widowControl/>
              <w:numPr>
                <w:ilvl w:val="0"/>
                <w:numId w:val="7"/>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制订流程。配合采购人制订重大活动后勤保障工作流程，需对任务进行详细了解，并根据工作安排制定详细的后勤保障计划。</w:t>
            </w:r>
          </w:p>
          <w:p w14:paraId="37ABE237">
            <w:pPr>
              <w:pStyle w:val="16"/>
              <w:keepNext w:val="0"/>
              <w:keepLines w:val="0"/>
              <w:pageBreakBefore w:val="0"/>
              <w:widowControl/>
              <w:numPr>
                <w:ilvl w:val="0"/>
                <w:numId w:val="7"/>
              </w:numPr>
              <w:suppressLineNumbers w:val="0"/>
              <w:kinsoku/>
              <w:wordWrap/>
              <w:overflowPunct/>
              <w:topLinePunct w:val="0"/>
              <w:bidi w:val="0"/>
              <w:spacing w:before="0" w:beforeAutospacing="0" w:after="0" w:afterAutospacing="0" w:line="440" w:lineRule="exact"/>
              <w:ind w:left="0" w:leftChars="0" w:right="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57C52F3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（3）收尾工作。对现场进行检查，做好清理工作。</w:t>
            </w:r>
          </w:p>
        </w:tc>
      </w:tr>
      <w:tr w14:paraId="7A01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noWrap w:val="0"/>
            <w:vAlign w:val="center"/>
          </w:tcPr>
          <w:p w14:paraId="19E20B2A">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7</w:t>
            </w:r>
          </w:p>
        </w:tc>
        <w:tc>
          <w:tcPr>
            <w:tcW w:w="1484" w:type="dxa"/>
            <w:noWrap w:val="0"/>
            <w:vAlign w:val="center"/>
          </w:tcPr>
          <w:p w14:paraId="6AE47A2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服务方案及工作制度</w:t>
            </w:r>
          </w:p>
        </w:tc>
        <w:tc>
          <w:tcPr>
            <w:tcW w:w="6755" w:type="dxa"/>
            <w:noWrap w:val="0"/>
            <w:vAlign w:val="top"/>
          </w:tcPr>
          <w:p w14:paraId="3DB4B372">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（1）制定工作制度，主要包括：人员录用制度、档案管理制度、物业服务管理制度。</w:t>
            </w:r>
          </w:p>
          <w:p w14:paraId="2B4FF392">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（2）制定项目实施方案，主要包括：交接方案、人员培训方案、人员稳定性方案、保密方案等。</w:t>
            </w:r>
          </w:p>
          <w:p w14:paraId="075E1DB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（3）制定物业服务方案，主要包括：保洁服务方案、校园零星工程维修服务方案、校园区域绿化服务方案等。</w:t>
            </w:r>
          </w:p>
        </w:tc>
      </w:tr>
    </w:tbl>
    <w:p w14:paraId="6C0D0F41">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39AB3B76">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151896AE">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7C408AEA">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2F13C37D">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76664E9B">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0693F56A">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4BF9FC4D">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35BC606E">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3.2保洁服务</w:t>
      </w:r>
    </w:p>
    <w:tbl>
      <w:tblPr>
        <w:tblStyle w:val="14"/>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405"/>
        <w:gridCol w:w="6773"/>
      </w:tblGrid>
      <w:tr w14:paraId="02B0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1" w:type="dxa"/>
            <w:noWrap w:val="0"/>
            <w:vAlign w:val="center"/>
          </w:tcPr>
          <w:p w14:paraId="61D5CD7D">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序号</w:t>
            </w:r>
          </w:p>
        </w:tc>
        <w:tc>
          <w:tcPr>
            <w:tcW w:w="1405" w:type="dxa"/>
            <w:noWrap w:val="0"/>
            <w:vAlign w:val="center"/>
          </w:tcPr>
          <w:p w14:paraId="6EA17503">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服务内容</w:t>
            </w:r>
          </w:p>
        </w:tc>
        <w:tc>
          <w:tcPr>
            <w:tcW w:w="6773" w:type="dxa"/>
            <w:noWrap w:val="0"/>
            <w:vAlign w:val="center"/>
          </w:tcPr>
          <w:p w14:paraId="5DF0FA17">
            <w:pPr>
              <w:keepNext w:val="0"/>
              <w:keepLines w:val="0"/>
              <w:widowControl/>
              <w:suppressLineNumbers w:val="0"/>
              <w:spacing w:before="0" w:beforeAutospacing="0" w:after="0" w:afterAutospacing="0" w:line="30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服务标准</w:t>
            </w:r>
          </w:p>
        </w:tc>
      </w:tr>
      <w:tr w14:paraId="7723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jc w:val="center"/>
        </w:trPr>
        <w:tc>
          <w:tcPr>
            <w:tcW w:w="861" w:type="dxa"/>
            <w:noWrap w:val="0"/>
            <w:vAlign w:val="center"/>
          </w:tcPr>
          <w:p w14:paraId="236AD49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405" w:type="dxa"/>
            <w:noWrap w:val="0"/>
            <w:vAlign w:val="center"/>
          </w:tcPr>
          <w:p w14:paraId="42915E8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基本要求</w:t>
            </w:r>
          </w:p>
        </w:tc>
        <w:tc>
          <w:tcPr>
            <w:tcW w:w="6773" w:type="dxa"/>
            <w:noWrap w:val="0"/>
            <w:vAlign w:val="center"/>
          </w:tcPr>
          <w:p w14:paraId="1C43F6C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（1）建立保洁服务的工作制度及工作计划，并按照执行。</w:t>
            </w:r>
          </w:p>
          <w:p w14:paraId="7857495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（2）做好保洁服务工作记录，记录填写规范、保存完好。</w:t>
            </w:r>
          </w:p>
          <w:p w14:paraId="525041F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（3）作业时采取安全防护措施，防止对作业人员或他人造成伤害。相关耗材的环保、安全性等应当符合国家相关规定要求。</w:t>
            </w:r>
          </w:p>
          <w:p w14:paraId="6786AC0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（4）进入保密区域时，有采购人相关人员全程在场。</w:t>
            </w:r>
          </w:p>
          <w:p w14:paraId="2569A43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（5）须保持采购人物业服务区域内环境优美，卫生整洁；保持室内外各公共包干区清洁卫生、环境宜人；重点部位须专人负责，始终保持清洁状态。</w:t>
            </w:r>
          </w:p>
        </w:tc>
      </w:tr>
      <w:tr w14:paraId="4C368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1" w:type="dxa"/>
            <w:noWrap w:val="0"/>
            <w:vAlign w:val="center"/>
          </w:tcPr>
          <w:p w14:paraId="2865557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405" w:type="dxa"/>
            <w:noWrap w:val="0"/>
            <w:vAlign w:val="center"/>
          </w:tcPr>
          <w:p w14:paraId="477EABA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公共区域保洁</w:t>
            </w:r>
          </w:p>
        </w:tc>
        <w:tc>
          <w:tcPr>
            <w:tcW w:w="6773" w:type="dxa"/>
            <w:noWrap w:val="0"/>
            <w:vAlign w:val="center"/>
          </w:tcPr>
          <w:p w14:paraId="708B503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一、室内（综合楼、教学楼、报告厅、体育看台、公共区域、会议室、教师公寓和行政值班区域等）</w:t>
            </w:r>
          </w:p>
          <w:p w14:paraId="0A7FB55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1.综合楼大厅（含玻璃门、墙壁、地面）、楼道地面、各层走廊、楼梯每日擦拖洗一次，巡回保洁，无积灰、污迹、垃圾、水。</w:t>
            </w:r>
          </w:p>
          <w:p w14:paraId="2BFC9B1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2.扶手、门、会议室：每日擦抹一次，无灰尘、污迹。</w:t>
            </w:r>
          </w:p>
          <w:p w14:paraId="6B19FD8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3.天花板、公共楼道灯、消防设施等：消防设施每周内外清洁一次，其他每月除尘一次，无明显积灰、虫网。</w:t>
            </w:r>
          </w:p>
          <w:p w14:paraId="118DDE0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4.玻璃及幕墙：行政楼门厅每月清洗一次；其他每半年清洁一次，要求无积灰、污迹。（含所有窗户玻璃，教学楼、实训中心除外）</w:t>
            </w:r>
          </w:p>
          <w:p w14:paraId="5CE22A48">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 xml:space="preserve">5.会议室、四楼机房、多功能报告厅依据会议、活动日程安排提前搞好卫生保洁，会议、活动期间做好服务工作，会议或活动结束后打扫干净。 </w:t>
            </w:r>
          </w:p>
          <w:p w14:paraId="70DF6D93">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6.所有公共卫生间每天上、下午至少各拖洗一次，保持地面清洁、无杂物、无积水、无毛发、无异味。便池、水池下水道（含学生宿舍）要畅通，如有堵塞，及时疏通。墙面四周及阴角做到无水迹、无蜘蛛网；天花板上无污渍、无漏水或有小水泡等现象，保持干净、清洁，完好无损；确保运作正常；配备洗手液，每日检查，发现用完及时补充。</w:t>
            </w:r>
          </w:p>
          <w:p w14:paraId="5D1DFE7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7.创业一条街室内楼梯、扶手每周清扫一次，无积灰、污迹、垃圾、水。</w:t>
            </w:r>
          </w:p>
          <w:p w14:paraId="2FB6E73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二、室外（校园内所有区域及校外创业一条街，校企合作园）</w:t>
            </w:r>
          </w:p>
          <w:p w14:paraId="66A039F5">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1.学校道路大环境：制定巡回捡拾制度。在学生清扫道路后巡回检查校区大环境，负责二次捡拾、清扫，确保无纸屑、无果壳、无烟头、无飘浮物等其它垃圾，及时向学校反映道路、道板等缺损破坏情况。</w:t>
            </w:r>
          </w:p>
          <w:p w14:paraId="25E05385">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2.垃圾收集：对垃圾每天进行清除、收集，做到垃圾日产日清，保持垃圾全部进垃圾箱，保持箱外无垃圾。</w:t>
            </w:r>
          </w:p>
          <w:p w14:paraId="2291F15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3.垃圾箱（桶）：对垃圾箱（桶）每天清刷，摆放整齐有序，做到箱（桶）体清洁无污迹、无异味、无损坏。垃圾箱周围无遗留垃圾。</w:t>
            </w:r>
          </w:p>
          <w:p w14:paraId="3FAF88D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4.窨井（含集水井）每半年清理一次，内壁无粘附物、井底无沉淀物。</w:t>
            </w:r>
          </w:p>
          <w:p w14:paraId="72DF698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5.明沟：每周清扫一次，无明显垃圾，无堵塞。</w:t>
            </w:r>
          </w:p>
          <w:p w14:paraId="3A4A4E8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6.消毒灭害：窨井、明沟、垃圾房喷洒药水，每季一次（3、5、7、9月每月喷洒一次），每年灭鼠、灭蟑螂三次，无明显蚊蝇滋生地、鼠迹。遇疫情根据学校要求常态消杀并做好台账记录。</w:t>
            </w:r>
          </w:p>
          <w:p w14:paraId="0F7B315F">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7.室内外楼梯、不锈钢扶手：每周清洗一次，无积灰、污迹、垃圾。</w:t>
            </w:r>
          </w:p>
          <w:p w14:paraId="6FA897E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8.可上去的屋顶和雨水沟不定期清扫，要求无积水、无垃圾。</w:t>
            </w:r>
          </w:p>
          <w:p w14:paraId="5DE6BFE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9.垃圾清运：校园每天产生的垃圾做到及时集中堆放在指定位置，日产日清，每天外运。如遇学校重大活动等需要增加清运次数的，应随时响应。</w:t>
            </w:r>
          </w:p>
          <w:p w14:paraId="5FCC88F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10.创业一条街沿街保洁。每天上下午各一次，确保无纸屑、无果壳、无烟头、无飘浮物等垃圾，无小广告，无乱涂乱画。遇重要节日和检查服从学校安排，强化保洁。</w:t>
            </w:r>
          </w:p>
          <w:p w14:paraId="1F1FE5D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11.外阳台、楼顶、公共卫生间、地下车库。</w:t>
            </w:r>
          </w:p>
          <w:p w14:paraId="30192E9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三、其他</w:t>
            </w:r>
          </w:p>
          <w:p w14:paraId="1AE35E1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1.全校每月一次大扫除，做到无卫生死角。</w:t>
            </w:r>
          </w:p>
          <w:p w14:paraId="5E01B47E">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2.如遇疫情防控或重大事项，无条件、及时完成校方交办的各项重大活动、突击性任务。</w:t>
            </w:r>
          </w:p>
          <w:p w14:paraId="46508E87">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3.保洁员在工作期间要接受甲方的领导和监督，遵守甲方的有关规章制度。</w:t>
            </w:r>
          </w:p>
          <w:p w14:paraId="70D3274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firstLine="480" w:firstLineChars="20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4.校园内水池日常清理、饲养天鹅。</w:t>
            </w:r>
          </w:p>
        </w:tc>
      </w:tr>
    </w:tbl>
    <w:p w14:paraId="231F193F">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26683029">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07358F61">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3.3绿化服务</w:t>
      </w:r>
    </w:p>
    <w:tbl>
      <w:tblPr>
        <w:tblStyle w:val="14"/>
        <w:tblW w:w="9171"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315"/>
        <w:gridCol w:w="7123"/>
      </w:tblGrid>
      <w:tr w14:paraId="313E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top"/>
          </w:tcPr>
          <w:p w14:paraId="7AAFD0BC">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315" w:type="dxa"/>
            <w:noWrap w:val="0"/>
            <w:vAlign w:val="top"/>
          </w:tcPr>
          <w:p w14:paraId="336FD00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服务内容</w:t>
            </w:r>
          </w:p>
        </w:tc>
        <w:tc>
          <w:tcPr>
            <w:tcW w:w="7123" w:type="dxa"/>
            <w:noWrap w:val="0"/>
            <w:vAlign w:val="top"/>
          </w:tcPr>
          <w:p w14:paraId="0DDB3CA3">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服务标准</w:t>
            </w:r>
          </w:p>
        </w:tc>
      </w:tr>
      <w:tr w14:paraId="6A61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center"/>
          </w:tcPr>
          <w:p w14:paraId="1B57F84C">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w:t>
            </w:r>
          </w:p>
        </w:tc>
        <w:tc>
          <w:tcPr>
            <w:tcW w:w="1315" w:type="dxa"/>
            <w:noWrap w:val="0"/>
            <w:vAlign w:val="center"/>
          </w:tcPr>
          <w:p w14:paraId="117C110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基本要求</w:t>
            </w:r>
          </w:p>
        </w:tc>
        <w:tc>
          <w:tcPr>
            <w:tcW w:w="7123" w:type="dxa"/>
            <w:noWrap w:val="0"/>
            <w:vAlign w:val="top"/>
          </w:tcPr>
          <w:p w14:paraId="4CA4256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1.制定绿化服务的工作制度及工作计划，并按照执行。</w:t>
            </w:r>
          </w:p>
          <w:p w14:paraId="09F2A89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2.做好绿化服务工作记录，填写规范。</w:t>
            </w:r>
          </w:p>
          <w:p w14:paraId="4B749CC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3.作业时采取安全防护措施，防止对作业人员或他人造成伤害。</w:t>
            </w:r>
          </w:p>
          <w:p w14:paraId="59E78543">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4.相关耗材的环保、安全性应当符合规定要求。</w:t>
            </w:r>
          </w:p>
        </w:tc>
      </w:tr>
      <w:tr w14:paraId="290E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center"/>
          </w:tcPr>
          <w:p w14:paraId="014955FF">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315" w:type="dxa"/>
            <w:noWrap w:val="0"/>
            <w:vAlign w:val="center"/>
          </w:tcPr>
          <w:p w14:paraId="34B2C56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校园区域绿化服务</w:t>
            </w:r>
          </w:p>
        </w:tc>
        <w:tc>
          <w:tcPr>
            <w:tcW w:w="7123" w:type="dxa"/>
            <w:noWrap w:val="0"/>
            <w:vAlign w:val="top"/>
          </w:tcPr>
          <w:p w14:paraId="14C71D0A">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一、绿化养护</w:t>
            </w:r>
          </w:p>
          <w:p w14:paraId="07C2F531">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1</w:t>
            </w:r>
            <w:r>
              <w:rPr>
                <w:rFonts w:hint="eastAsia" w:ascii="宋体" w:hAnsi="宋体" w:eastAsia="宋体" w:cs="宋体"/>
                <w:b w:val="0"/>
                <w:bCs w:val="0"/>
                <w:color w:val="auto"/>
                <w:kern w:val="0"/>
                <w:sz w:val="24"/>
                <w:szCs w:val="24"/>
                <w:highlight w:val="none"/>
                <w:vertAlign w:val="baseline"/>
                <w:lang w:val="en-US" w:eastAsia="zh-CN"/>
              </w:rPr>
              <w:t>.根据生长环境、植物特性进行除草、灌溉、施肥、整形修剪、防治病虫害等.</w:t>
            </w:r>
          </w:p>
          <w:p w14:paraId="6E9E6AB8">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2.定期修剪树木、花卉等，灌乔木生长正常、造型美观自然、花枝新鲜，无枯叶、无病虫、无死树缺株。</w:t>
            </w:r>
          </w:p>
          <w:p w14:paraId="4AF3ABE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3.绿篱生长造型正常，颜色正常，修剪及时，基本无死株和干死株，有虫株率在10%以下。</w:t>
            </w:r>
          </w:p>
          <w:p w14:paraId="3777861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4.清除花坛和花景的花蒂、黄叶、杂草、垃圾，做好病虫害防治。</w:t>
            </w:r>
          </w:p>
          <w:p w14:paraId="4E6E32C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5.水池水面定期清理，无漂浮物。</w:t>
            </w:r>
          </w:p>
          <w:p w14:paraId="147CA30E">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6.雨雪、冰冻等恶劣天气来临前，专人巡查，对绿植做好预防措施，排除安全隐患。</w:t>
            </w:r>
          </w:p>
          <w:p w14:paraId="3874F26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7.恶劣天气后，及时清除倒树断枝，疏通道路，尽快恢复原状。</w:t>
            </w:r>
          </w:p>
          <w:p w14:paraId="1F73DC50">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8.养护质量标准：本项目养护质量标准：二级。</w:t>
            </w:r>
          </w:p>
        </w:tc>
      </w:tr>
    </w:tbl>
    <w:p w14:paraId="7673F183">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104F4A88">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p>
    <w:p w14:paraId="178A92B2">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3.4校园零星工程维修服务</w:t>
      </w:r>
    </w:p>
    <w:tbl>
      <w:tblPr>
        <w:tblStyle w:val="14"/>
        <w:tblW w:w="9153"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7731"/>
      </w:tblGrid>
      <w:tr w14:paraId="7D07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22" w:type="dxa"/>
            <w:noWrap w:val="0"/>
            <w:vAlign w:val="center"/>
          </w:tcPr>
          <w:p w14:paraId="5B1B79E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校园零星工程维修</w:t>
            </w:r>
          </w:p>
        </w:tc>
        <w:tc>
          <w:tcPr>
            <w:tcW w:w="7731" w:type="dxa"/>
            <w:noWrap w:val="0"/>
            <w:vAlign w:val="top"/>
          </w:tcPr>
          <w:p w14:paraId="303B15E4">
            <w:pPr>
              <w:pStyle w:val="16"/>
              <w:keepNext w:val="0"/>
              <w:keepLines w:val="0"/>
              <w:pageBreakBefore w:val="0"/>
              <w:widowControl/>
              <w:numPr>
                <w:ilvl w:val="0"/>
                <w:numId w:val="8"/>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校园地面地砖出现损坏要及时更换到位；</w:t>
            </w:r>
          </w:p>
          <w:p w14:paraId="6CF4AA48">
            <w:pPr>
              <w:pStyle w:val="16"/>
              <w:keepNext w:val="0"/>
              <w:keepLines w:val="0"/>
              <w:pageBreakBefore w:val="0"/>
              <w:widowControl/>
              <w:numPr>
                <w:ilvl w:val="0"/>
                <w:numId w:val="8"/>
              </w:numPr>
              <w:suppressLineNumbers w:val="0"/>
              <w:kinsoku/>
              <w:wordWrap/>
              <w:overflowPunct/>
              <w:topLinePunct w:val="0"/>
              <w:bidi w:val="0"/>
              <w:spacing w:before="0" w:beforeAutospacing="0" w:after="0" w:afterAutospacing="0" w:line="440" w:lineRule="exact"/>
              <w:ind w:left="0" w:leftChars="0" w:right="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校园建筑墙体2米及以下（含所有楼层内墙2米及以下的墙体）的墙体出现损坏要及时更换到位；</w:t>
            </w:r>
          </w:p>
          <w:p w14:paraId="1589BF08">
            <w:pPr>
              <w:pStyle w:val="16"/>
              <w:keepNext w:val="0"/>
              <w:keepLines w:val="0"/>
              <w:pageBreakBefore w:val="0"/>
              <w:widowControl/>
              <w:numPr>
                <w:ilvl w:val="0"/>
                <w:numId w:val="8"/>
              </w:numPr>
              <w:suppressLineNumbers w:val="0"/>
              <w:kinsoku/>
              <w:wordWrap/>
              <w:overflowPunct/>
              <w:topLinePunct w:val="0"/>
              <w:bidi w:val="0"/>
              <w:spacing w:before="0" w:beforeAutospacing="0" w:after="0" w:afterAutospacing="0" w:line="440" w:lineRule="exact"/>
              <w:ind w:left="0" w:leftChars="0" w:right="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下水盖板、窨井盖等更换维修；</w:t>
            </w:r>
          </w:p>
          <w:p w14:paraId="0A280CD1">
            <w:pPr>
              <w:pStyle w:val="16"/>
              <w:keepNext w:val="0"/>
              <w:keepLines w:val="0"/>
              <w:pageBreakBefore w:val="0"/>
              <w:widowControl/>
              <w:numPr>
                <w:ilvl w:val="0"/>
                <w:numId w:val="8"/>
              </w:numPr>
              <w:suppressLineNumbers w:val="0"/>
              <w:kinsoku/>
              <w:wordWrap/>
              <w:overflowPunct/>
              <w:topLinePunct w:val="0"/>
              <w:bidi w:val="0"/>
              <w:spacing w:before="0" w:beforeAutospacing="0" w:after="0" w:afterAutospacing="0" w:line="440" w:lineRule="exact"/>
              <w:ind w:left="0" w:leftChars="0" w:right="0" w:firstLine="0" w:firstLineChars="0"/>
              <w:jc w:val="both"/>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其他木工 、泥瓦工类零星维修；</w:t>
            </w:r>
          </w:p>
        </w:tc>
      </w:tr>
    </w:tbl>
    <w:p w14:paraId="320074E8">
      <w:pPr>
        <w:pStyle w:val="16"/>
        <w:keepNext w:val="0"/>
        <w:keepLines w:val="0"/>
        <w:pageBreakBefore w:val="0"/>
        <w:numPr>
          <w:ilvl w:val="0"/>
          <w:numId w:val="0"/>
        </w:numPr>
        <w:kinsoku/>
        <w:wordWrap/>
        <w:overflowPunct/>
        <w:topLinePunct w:val="0"/>
        <w:bidi w:val="0"/>
        <w:spacing w:line="440" w:lineRule="exact"/>
        <w:ind w:leftChars="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lang w:val="en-US" w:eastAsia="zh-CN"/>
        </w:rPr>
        <w:t>4、供应商应履行合同所需的设备</w:t>
      </w:r>
    </w:p>
    <w:p w14:paraId="04E57A65">
      <w:pPr>
        <w:pStyle w:val="16"/>
        <w:keepNext w:val="0"/>
        <w:keepLines w:val="0"/>
        <w:pageBreakBefore w:val="0"/>
        <w:numPr>
          <w:ilvl w:val="0"/>
          <w:numId w:val="0"/>
        </w:numPr>
        <w:kinsoku/>
        <w:wordWrap/>
        <w:overflowPunct/>
        <w:topLinePunct w:val="0"/>
        <w:bidi w:val="0"/>
        <w:spacing w:line="440" w:lineRule="exac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根据项目实际需求，需要供应商提供作业设备（自有或租赁）用于物业管理服务。</w:t>
      </w:r>
    </w:p>
    <w:tbl>
      <w:tblPr>
        <w:tblStyle w:val="14"/>
        <w:tblW w:w="938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766"/>
        <w:gridCol w:w="6849"/>
      </w:tblGrid>
      <w:tr w14:paraId="4AA6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5A9A0D1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序号</w:t>
            </w:r>
          </w:p>
        </w:tc>
        <w:tc>
          <w:tcPr>
            <w:tcW w:w="1766" w:type="dxa"/>
            <w:noWrap w:val="0"/>
            <w:vAlign w:val="top"/>
          </w:tcPr>
          <w:p w14:paraId="7F11F258">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用途</w:t>
            </w:r>
          </w:p>
        </w:tc>
        <w:tc>
          <w:tcPr>
            <w:tcW w:w="6849" w:type="dxa"/>
            <w:noWrap w:val="0"/>
            <w:vAlign w:val="top"/>
          </w:tcPr>
          <w:p w14:paraId="5488FB8D">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作业设备名称</w:t>
            </w:r>
          </w:p>
        </w:tc>
      </w:tr>
      <w:tr w14:paraId="4FA2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14:paraId="32DD95D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1</w:t>
            </w:r>
          </w:p>
        </w:tc>
        <w:tc>
          <w:tcPr>
            <w:tcW w:w="1766" w:type="dxa"/>
            <w:noWrap w:val="0"/>
            <w:vAlign w:val="center"/>
          </w:tcPr>
          <w:p w14:paraId="1768B4FA">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公共区域保洁设施、设备</w:t>
            </w:r>
          </w:p>
        </w:tc>
        <w:tc>
          <w:tcPr>
            <w:tcW w:w="6849" w:type="dxa"/>
            <w:noWrap w:val="0"/>
            <w:vAlign w:val="top"/>
          </w:tcPr>
          <w:p w14:paraId="3546F2FE">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扫地机1台、洗地机1台、吸尘器（商用大功率）不少于1台、消毒设备等。</w:t>
            </w:r>
          </w:p>
          <w:p w14:paraId="4471E209">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注：提供拟投入设备的图片、价格等，扫描件加盖电子签章或盖章上传至电子响应文件。</w:t>
            </w:r>
          </w:p>
        </w:tc>
      </w:tr>
      <w:tr w14:paraId="6332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14:paraId="0C7B3594">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w:t>
            </w:r>
          </w:p>
        </w:tc>
        <w:tc>
          <w:tcPr>
            <w:tcW w:w="1766" w:type="dxa"/>
            <w:noWrap w:val="0"/>
            <w:vAlign w:val="center"/>
          </w:tcPr>
          <w:p w14:paraId="765C18CC">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校园零星工程维修</w:t>
            </w:r>
          </w:p>
        </w:tc>
        <w:tc>
          <w:tcPr>
            <w:tcW w:w="6849" w:type="dxa"/>
            <w:noWrap w:val="0"/>
            <w:vAlign w:val="center"/>
          </w:tcPr>
          <w:p w14:paraId="20A38FC6">
            <w:pPr>
              <w:spacing w:after="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由物业申请，学校提供相关物料，物业自行配备工具并组织人员实施。</w:t>
            </w:r>
          </w:p>
        </w:tc>
      </w:tr>
      <w:tr w14:paraId="06FA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14:paraId="14CAA62E">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3</w:t>
            </w:r>
          </w:p>
        </w:tc>
        <w:tc>
          <w:tcPr>
            <w:tcW w:w="1766" w:type="dxa"/>
            <w:noWrap w:val="0"/>
            <w:vAlign w:val="center"/>
          </w:tcPr>
          <w:p w14:paraId="2DB24F5B">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校园区域绿化服务</w:t>
            </w:r>
          </w:p>
        </w:tc>
        <w:tc>
          <w:tcPr>
            <w:tcW w:w="6849" w:type="dxa"/>
            <w:noWrap w:val="0"/>
            <w:vAlign w:val="top"/>
          </w:tcPr>
          <w:p w14:paraId="5A3DED2B">
            <w:pPr>
              <w:pStyle w:val="16"/>
              <w:keepNext w:val="0"/>
              <w:keepLines w:val="0"/>
              <w:pageBreakBefore w:val="0"/>
              <w:widowControl w:val="0"/>
              <w:numPr>
                <w:ilvl w:val="0"/>
                <w:numId w:val="0"/>
              </w:numPr>
              <w:kinsoku/>
              <w:wordWrap/>
              <w:overflowPunct/>
              <w:topLinePunct w:val="0"/>
              <w:bidi w:val="0"/>
              <w:spacing w:after="0" w:line="440" w:lineRule="exact"/>
              <w:jc w:val="both"/>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（1）绿化服务所需工具、设备、机器及防虫药物、化肥、汽油等耗材由</w:t>
            </w:r>
            <w:r>
              <w:rPr>
                <w:rFonts w:hint="eastAsia" w:ascii="宋体" w:hAnsi="宋体" w:eastAsia="宋体" w:cs="宋体"/>
                <w:b w:val="0"/>
                <w:bCs w:val="0"/>
                <w:color w:val="auto"/>
                <w:kern w:val="0"/>
                <w:sz w:val="24"/>
                <w:szCs w:val="24"/>
                <w:highlight w:val="none"/>
                <w:lang w:val="en-US" w:eastAsia="zh-CN"/>
              </w:rPr>
              <w:t>物业申请，由学校提供；</w:t>
            </w:r>
            <w:r>
              <w:rPr>
                <w:rFonts w:hint="eastAsia" w:ascii="宋体" w:hAnsi="宋体" w:eastAsia="宋体" w:cs="宋体"/>
                <w:b w:val="0"/>
                <w:bCs w:val="0"/>
                <w:color w:val="auto"/>
                <w:kern w:val="0"/>
                <w:sz w:val="24"/>
                <w:szCs w:val="24"/>
                <w:highlight w:val="none"/>
                <w:lang w:val="en-US" w:eastAsia="zh-CN" w:bidi="ar-SA"/>
              </w:rPr>
              <w:t>水电费用由校方承担。</w:t>
            </w:r>
          </w:p>
          <w:p w14:paraId="41E46929">
            <w:pPr>
              <w:spacing w:after="0" w:line="360" w:lineRule="auto"/>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（2）涉及到维护、维修等项目</w:t>
            </w:r>
            <w:r>
              <w:rPr>
                <w:rFonts w:hint="eastAsia" w:ascii="宋体" w:hAnsi="宋体" w:cs="宋体"/>
                <w:b w:val="0"/>
                <w:bCs w:val="0"/>
                <w:color w:val="auto"/>
                <w:kern w:val="0"/>
                <w:sz w:val="24"/>
                <w:szCs w:val="24"/>
                <w:highlight w:val="none"/>
                <w:vertAlign w:val="baseline"/>
                <w:lang w:val="en-US" w:eastAsia="zh-CN"/>
              </w:rPr>
              <w:t>，由物业申请，</w:t>
            </w:r>
            <w:r>
              <w:rPr>
                <w:rFonts w:hint="eastAsia" w:ascii="宋体" w:hAnsi="宋体" w:eastAsia="宋体" w:cs="宋体"/>
                <w:b w:val="0"/>
                <w:bCs w:val="0"/>
                <w:color w:val="auto"/>
                <w:kern w:val="0"/>
                <w:sz w:val="24"/>
                <w:szCs w:val="24"/>
                <w:highlight w:val="none"/>
                <w:vertAlign w:val="baseline"/>
                <w:lang w:val="en-US" w:eastAsia="zh-CN"/>
              </w:rPr>
              <w:t>费用由校方承担（不含人为损坏与使用不当损坏）</w:t>
            </w:r>
          </w:p>
        </w:tc>
      </w:tr>
      <w:tr w14:paraId="7734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gridSpan w:val="3"/>
            <w:noWrap w:val="0"/>
            <w:vAlign w:val="center"/>
          </w:tcPr>
          <w:p w14:paraId="7B7FF2B6">
            <w:pPr>
              <w:pStyle w:val="16"/>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注：1.供应商应履行合同所需的设备为项目采购需求服务的实</w:t>
            </w:r>
            <w:r>
              <w:rPr>
                <w:rFonts w:hint="eastAsia" w:ascii="宋体" w:hAnsi="宋体" w:eastAsia="宋体" w:cs="宋体"/>
                <w:b/>
                <w:bCs/>
                <w:color w:val="auto"/>
                <w:kern w:val="2"/>
                <w:sz w:val="24"/>
                <w:szCs w:val="24"/>
                <w:highlight w:val="none"/>
              </w:rPr>
              <w:t>质性要求和条件</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供应商必须实质性响应，未实质性响应作无效标处理。</w:t>
            </w:r>
          </w:p>
          <w:p w14:paraId="76E96309">
            <w:pPr>
              <w:keepNext w:val="0"/>
              <w:keepLines w:val="0"/>
              <w:suppressLineNumbers w:val="0"/>
              <w:spacing w:before="0" w:beforeAutospacing="0" w:after="0" w:afterAutospacing="0" w:line="520" w:lineRule="exact"/>
              <w:ind w:left="0" w:right="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2.供应商针对上述要求在“商务和技术要求响应偏离表”中逐条列出响应及偏离情况，采购需求中要求提供证明材料的，以证明材料为准；采购需求中未要求提供证明材料的，以响应偏离表中偏离情况为准；未按要求提供证明材料或未在响应偏离表中列明的对应项按无效标处理。</w:t>
            </w:r>
          </w:p>
        </w:tc>
      </w:tr>
    </w:tbl>
    <w:p w14:paraId="374CC0DA">
      <w:pPr>
        <w:numPr>
          <w:ilvl w:val="0"/>
          <w:numId w:val="0"/>
        </w:numPr>
        <w:ind w:leftChars="0"/>
        <w:rPr>
          <w:rFonts w:hint="eastAsia" w:ascii="宋体" w:hAnsi="宋体" w:eastAsia="宋体" w:cs="宋体"/>
          <w:color w:val="auto"/>
          <w:sz w:val="24"/>
          <w:szCs w:val="24"/>
          <w:highlight w:val="none"/>
        </w:rPr>
      </w:pPr>
    </w:p>
    <w:p w14:paraId="3F3B1167">
      <w:pPr>
        <w:numPr>
          <w:ilvl w:val="0"/>
          <w:numId w:val="0"/>
        </w:numPr>
        <w:ind w:left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lang w:val="en-US" w:eastAsia="zh-CN" w:bidi="ar-SA"/>
        </w:rPr>
        <w:t>5、物业管理服务人员需求</w:t>
      </w:r>
    </w:p>
    <w:tbl>
      <w:tblPr>
        <w:tblStyle w:val="14"/>
        <w:tblW w:w="9377"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291"/>
        <w:gridCol w:w="1291"/>
        <w:gridCol w:w="1240"/>
        <w:gridCol w:w="4696"/>
      </w:tblGrid>
      <w:tr w14:paraId="23E8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59" w:type="dxa"/>
            <w:noWrap w:val="0"/>
            <w:vAlign w:val="center"/>
          </w:tcPr>
          <w:p w14:paraId="30865EC4">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部门职能</w:t>
            </w:r>
          </w:p>
        </w:tc>
        <w:tc>
          <w:tcPr>
            <w:tcW w:w="1291" w:type="dxa"/>
            <w:noWrap w:val="0"/>
            <w:vAlign w:val="center"/>
          </w:tcPr>
          <w:p w14:paraId="0015BA3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岗位</w:t>
            </w:r>
          </w:p>
        </w:tc>
        <w:tc>
          <w:tcPr>
            <w:tcW w:w="1291" w:type="dxa"/>
            <w:noWrap w:val="0"/>
            <w:vAlign w:val="center"/>
          </w:tcPr>
          <w:p w14:paraId="12C0102A">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同时在岗人数</w:t>
            </w:r>
          </w:p>
        </w:tc>
        <w:tc>
          <w:tcPr>
            <w:tcW w:w="1240" w:type="dxa"/>
            <w:noWrap w:val="0"/>
            <w:vAlign w:val="center"/>
          </w:tcPr>
          <w:p w14:paraId="36DCF8D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岗位所需总人数</w:t>
            </w:r>
          </w:p>
        </w:tc>
        <w:tc>
          <w:tcPr>
            <w:tcW w:w="4696" w:type="dxa"/>
            <w:noWrap w:val="0"/>
            <w:vAlign w:val="center"/>
          </w:tcPr>
          <w:p w14:paraId="33468950">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服务人员要求</w:t>
            </w:r>
          </w:p>
        </w:tc>
      </w:tr>
      <w:tr w14:paraId="41F5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859" w:type="dxa"/>
            <w:noWrap w:val="0"/>
            <w:vAlign w:val="center"/>
          </w:tcPr>
          <w:p w14:paraId="465229A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管理</w:t>
            </w:r>
          </w:p>
        </w:tc>
        <w:tc>
          <w:tcPr>
            <w:tcW w:w="1291" w:type="dxa"/>
            <w:noWrap w:val="0"/>
            <w:vAlign w:val="center"/>
          </w:tcPr>
          <w:p w14:paraId="292DE6F1">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项目经理</w:t>
            </w:r>
          </w:p>
        </w:tc>
        <w:tc>
          <w:tcPr>
            <w:tcW w:w="1291" w:type="dxa"/>
            <w:noWrap w:val="0"/>
            <w:vAlign w:val="center"/>
          </w:tcPr>
          <w:p w14:paraId="594191F1">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40" w:type="dxa"/>
            <w:noWrap w:val="0"/>
            <w:vAlign w:val="center"/>
          </w:tcPr>
          <w:p w14:paraId="4F9C8DC0">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696" w:type="dxa"/>
            <w:noWrap w:val="0"/>
            <w:vAlign w:val="center"/>
          </w:tcPr>
          <w:p w14:paraId="49107AA8">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拟派的项目经理，需要</w:t>
            </w:r>
            <w:r>
              <w:rPr>
                <w:rFonts w:hint="eastAsia" w:ascii="宋体" w:hAnsi="宋体" w:cs="宋体"/>
                <w:color w:val="auto"/>
                <w:kern w:val="2"/>
                <w:sz w:val="24"/>
                <w:szCs w:val="24"/>
                <w:highlight w:val="none"/>
                <w:vertAlign w:val="baseline"/>
                <w:lang w:val="en-US" w:eastAsia="zh-CN" w:bidi="ar-SA"/>
              </w:rPr>
              <w:t>持</w:t>
            </w:r>
            <w:r>
              <w:rPr>
                <w:rFonts w:hint="eastAsia" w:ascii="宋体" w:hAnsi="宋体" w:eastAsia="宋体" w:cs="宋体"/>
                <w:color w:val="auto"/>
                <w:kern w:val="2"/>
                <w:sz w:val="24"/>
                <w:szCs w:val="24"/>
                <w:highlight w:val="none"/>
                <w:vertAlign w:val="baseline"/>
                <w:lang w:val="en-US" w:eastAsia="zh-CN" w:bidi="ar-SA"/>
              </w:rPr>
              <w:t>有中级职称，责任心强，素质好，有丰富的项目管理经验和较强的组织协调能力。每周在岗时间不少于5天。</w:t>
            </w:r>
          </w:p>
          <w:p w14:paraId="0A07BF73">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注：提供人员证书、身份证扫描件，加盖电子签章或盖章上传至电子响应文件，不提供按无效标处理</w:t>
            </w:r>
            <w:r>
              <w:rPr>
                <w:rFonts w:hint="eastAsia" w:ascii="宋体" w:hAnsi="宋体" w:eastAsia="宋体" w:cs="宋体"/>
                <w:color w:val="auto"/>
                <w:kern w:val="2"/>
                <w:sz w:val="24"/>
                <w:szCs w:val="24"/>
                <w:highlight w:val="none"/>
                <w:vertAlign w:val="baseline"/>
                <w:lang w:val="en-US" w:eastAsia="zh-CN" w:bidi="ar-SA"/>
              </w:rPr>
              <w:t>。</w:t>
            </w:r>
          </w:p>
        </w:tc>
      </w:tr>
      <w:tr w14:paraId="0FA0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59" w:type="dxa"/>
            <w:vMerge w:val="restart"/>
            <w:noWrap w:val="0"/>
            <w:vAlign w:val="center"/>
          </w:tcPr>
          <w:p w14:paraId="0ED66432">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保洁服务</w:t>
            </w:r>
          </w:p>
        </w:tc>
        <w:tc>
          <w:tcPr>
            <w:tcW w:w="1291" w:type="dxa"/>
            <w:noWrap w:val="0"/>
            <w:vAlign w:val="center"/>
          </w:tcPr>
          <w:p w14:paraId="040F61E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保洁员</w:t>
            </w:r>
          </w:p>
        </w:tc>
        <w:tc>
          <w:tcPr>
            <w:tcW w:w="1291" w:type="dxa"/>
            <w:noWrap w:val="0"/>
            <w:vAlign w:val="center"/>
          </w:tcPr>
          <w:p w14:paraId="780C192F">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13</w:t>
            </w:r>
          </w:p>
        </w:tc>
        <w:tc>
          <w:tcPr>
            <w:tcW w:w="1240" w:type="dxa"/>
            <w:noWrap w:val="0"/>
            <w:vAlign w:val="center"/>
          </w:tcPr>
          <w:p w14:paraId="16F30A5C">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13</w:t>
            </w:r>
          </w:p>
        </w:tc>
        <w:tc>
          <w:tcPr>
            <w:tcW w:w="4696" w:type="dxa"/>
            <w:noWrap w:val="0"/>
            <w:vAlign w:val="top"/>
          </w:tcPr>
          <w:p w14:paraId="3856A016">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有保洁服务相关工作经验。</w:t>
            </w:r>
          </w:p>
          <w:p w14:paraId="69AC8335">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注：提供人员身份证扫描件，加盖电子签章或盖章上传至电子响应文件，不提供按无效标处理。</w:t>
            </w:r>
          </w:p>
        </w:tc>
      </w:tr>
      <w:tr w14:paraId="18EC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9" w:type="dxa"/>
            <w:vMerge w:val="continue"/>
            <w:noWrap w:val="0"/>
            <w:vAlign w:val="center"/>
          </w:tcPr>
          <w:p w14:paraId="114E176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p>
        </w:tc>
        <w:tc>
          <w:tcPr>
            <w:tcW w:w="1291" w:type="dxa"/>
            <w:shd w:val="clear" w:color="auto" w:fill="auto"/>
            <w:noWrap w:val="0"/>
            <w:vAlign w:val="center"/>
          </w:tcPr>
          <w:p w14:paraId="412FFDD6">
            <w:pPr>
              <w:keepNext w:val="0"/>
              <w:keepLines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保洁主管</w:t>
            </w:r>
          </w:p>
        </w:tc>
        <w:tc>
          <w:tcPr>
            <w:tcW w:w="1291" w:type="dxa"/>
            <w:shd w:val="clear" w:color="auto" w:fill="auto"/>
            <w:noWrap w:val="0"/>
            <w:vAlign w:val="center"/>
          </w:tcPr>
          <w:p w14:paraId="1260A0EE">
            <w:pPr>
              <w:keepNext w:val="0"/>
              <w:keepLines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40" w:type="dxa"/>
            <w:shd w:val="clear" w:color="auto" w:fill="auto"/>
            <w:noWrap w:val="0"/>
            <w:vAlign w:val="center"/>
          </w:tcPr>
          <w:p w14:paraId="290AEAC4">
            <w:pPr>
              <w:keepNext w:val="0"/>
              <w:keepLines w:val="0"/>
              <w:numPr>
                <w:ilvl w:val="0"/>
                <w:numId w:val="0"/>
              </w:numPr>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696" w:type="dxa"/>
            <w:noWrap w:val="0"/>
            <w:vAlign w:val="top"/>
          </w:tcPr>
          <w:p w14:paraId="504DDFDA">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1996年1月1日以后出生，具有相关服务经验。</w:t>
            </w:r>
          </w:p>
          <w:p w14:paraId="74EBEFA9">
            <w:pPr>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bidi="ar-SA"/>
              </w:rPr>
              <w:t>注：提供人员身份证扫描件、持有有效证明加盖电子签章或盖章上传至电子响应文件，不提供按无效标处理。</w:t>
            </w:r>
          </w:p>
        </w:tc>
      </w:tr>
      <w:tr w14:paraId="0AED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59" w:type="dxa"/>
            <w:noWrap w:val="0"/>
            <w:vAlign w:val="center"/>
          </w:tcPr>
          <w:p w14:paraId="3B3C565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校园零星工程维修</w:t>
            </w:r>
          </w:p>
        </w:tc>
        <w:tc>
          <w:tcPr>
            <w:tcW w:w="1291" w:type="dxa"/>
            <w:noWrap w:val="0"/>
            <w:vAlign w:val="center"/>
          </w:tcPr>
          <w:p w14:paraId="7382254B">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木工瓦工</w:t>
            </w:r>
          </w:p>
        </w:tc>
        <w:tc>
          <w:tcPr>
            <w:tcW w:w="1291" w:type="dxa"/>
            <w:noWrap w:val="0"/>
            <w:vAlign w:val="center"/>
          </w:tcPr>
          <w:p w14:paraId="68985E75">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40" w:type="dxa"/>
            <w:noWrap w:val="0"/>
            <w:vAlign w:val="center"/>
          </w:tcPr>
          <w:p w14:paraId="2FE69E76">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696" w:type="dxa"/>
            <w:noWrap w:val="0"/>
            <w:vAlign w:val="top"/>
          </w:tcPr>
          <w:p w14:paraId="5DA0D322">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有较为丰富的相关工作经验，维修由学校提供维修材料，物业自行配备工具实施。</w:t>
            </w:r>
          </w:p>
          <w:p w14:paraId="65B4C7CB">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2"/>
                <w:sz w:val="22"/>
                <w:szCs w:val="22"/>
                <w:highlight w:val="none"/>
                <w:vertAlign w:val="baseline"/>
                <w:lang w:val="en-US" w:eastAsia="zh-CN" w:bidi="ar-SA"/>
              </w:rPr>
              <w:t>注：提供人员身份证扫描件，加</w:t>
            </w:r>
            <w:r>
              <w:rPr>
                <w:rFonts w:hint="eastAsia" w:ascii="宋体" w:hAnsi="宋体" w:eastAsia="宋体" w:cs="宋体"/>
                <w:b/>
                <w:bCs/>
                <w:color w:val="auto"/>
                <w:sz w:val="22"/>
                <w:szCs w:val="22"/>
                <w:highlight w:val="none"/>
                <w:lang w:val="en-US" w:eastAsia="zh-CN"/>
              </w:rPr>
              <w:t>盖电子签</w:t>
            </w:r>
            <w:r>
              <w:rPr>
                <w:rFonts w:hint="eastAsia" w:ascii="宋体" w:hAnsi="宋体" w:eastAsia="宋体" w:cs="宋体"/>
                <w:b/>
                <w:bCs/>
                <w:color w:val="auto"/>
                <w:kern w:val="2"/>
                <w:sz w:val="22"/>
                <w:szCs w:val="22"/>
                <w:highlight w:val="none"/>
                <w:vertAlign w:val="baseline"/>
                <w:lang w:val="en-US" w:eastAsia="zh-CN" w:bidi="ar-SA"/>
              </w:rPr>
              <w:t>章或盖章上传至电子响应文件，不提供按无效标处理。</w:t>
            </w:r>
          </w:p>
        </w:tc>
      </w:tr>
      <w:tr w14:paraId="5C0E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859" w:type="dxa"/>
            <w:vMerge w:val="restart"/>
            <w:noWrap w:val="0"/>
            <w:vAlign w:val="center"/>
          </w:tcPr>
          <w:p w14:paraId="6156969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公用设备维护服务</w:t>
            </w:r>
          </w:p>
        </w:tc>
        <w:tc>
          <w:tcPr>
            <w:tcW w:w="1291" w:type="dxa"/>
            <w:noWrap w:val="0"/>
            <w:vAlign w:val="center"/>
          </w:tcPr>
          <w:p w14:paraId="44007713">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水电工</w:t>
            </w:r>
          </w:p>
          <w:p w14:paraId="5C952E16">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（电工方向）</w:t>
            </w:r>
          </w:p>
        </w:tc>
        <w:tc>
          <w:tcPr>
            <w:tcW w:w="1291" w:type="dxa"/>
            <w:noWrap w:val="0"/>
            <w:vAlign w:val="center"/>
          </w:tcPr>
          <w:p w14:paraId="1586DD53">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w:t>
            </w:r>
          </w:p>
        </w:tc>
        <w:tc>
          <w:tcPr>
            <w:tcW w:w="1240" w:type="dxa"/>
            <w:noWrap w:val="0"/>
            <w:vAlign w:val="center"/>
          </w:tcPr>
          <w:p w14:paraId="30532528">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w:t>
            </w:r>
          </w:p>
        </w:tc>
        <w:tc>
          <w:tcPr>
            <w:tcW w:w="4696" w:type="dxa"/>
            <w:noWrap w:val="0"/>
            <w:vAlign w:val="top"/>
          </w:tcPr>
          <w:p w14:paraId="1DA13CB5">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主要从事电力相关维修维护，持有江苏省应急管理厅颁发的高低压电工证，服从工作安排，有较为丰富的相关工作经验。由总务处统一管理，需驻校服务。</w:t>
            </w:r>
          </w:p>
          <w:p w14:paraId="26F4DA40">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注：提供人员相关证书、身份证扫描件，加盖电子签章或盖章上传至电子响应文件，不提供按无效标处理。</w:t>
            </w:r>
          </w:p>
        </w:tc>
      </w:tr>
      <w:tr w14:paraId="5D2C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59" w:type="dxa"/>
            <w:vMerge w:val="continue"/>
            <w:noWrap w:val="0"/>
            <w:vAlign w:val="center"/>
          </w:tcPr>
          <w:p w14:paraId="23AA262E">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p>
        </w:tc>
        <w:tc>
          <w:tcPr>
            <w:tcW w:w="1291" w:type="dxa"/>
            <w:noWrap w:val="0"/>
            <w:vAlign w:val="center"/>
          </w:tcPr>
          <w:p w14:paraId="738D7F64">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水电工</w:t>
            </w:r>
          </w:p>
          <w:p w14:paraId="18E8FFFE">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（水工方向）</w:t>
            </w:r>
          </w:p>
        </w:tc>
        <w:tc>
          <w:tcPr>
            <w:tcW w:w="1291" w:type="dxa"/>
            <w:noWrap w:val="0"/>
            <w:vAlign w:val="center"/>
          </w:tcPr>
          <w:p w14:paraId="74B78B94">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1240" w:type="dxa"/>
            <w:noWrap w:val="0"/>
            <w:vAlign w:val="center"/>
          </w:tcPr>
          <w:p w14:paraId="1D16DF9F">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1</w:t>
            </w:r>
          </w:p>
        </w:tc>
        <w:tc>
          <w:tcPr>
            <w:tcW w:w="4696" w:type="dxa"/>
            <w:noWrap w:val="0"/>
            <w:vAlign w:val="top"/>
          </w:tcPr>
          <w:p w14:paraId="158DCB12">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主要从事上下水相关维修维护，服从工作安排，有较为丰富的相关工作经验。由总务处统一管理，需驻校服务。</w:t>
            </w:r>
          </w:p>
          <w:p w14:paraId="0D469DBC">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注：提供人员身份证扫描件，加盖电子签章或盖章上传至电子响应文件，不提供按无效标处理。</w:t>
            </w:r>
          </w:p>
        </w:tc>
      </w:tr>
      <w:tr w14:paraId="1FD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59" w:type="dxa"/>
            <w:noWrap w:val="0"/>
            <w:vAlign w:val="center"/>
          </w:tcPr>
          <w:p w14:paraId="4137F00B">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绿化服务</w:t>
            </w:r>
          </w:p>
        </w:tc>
        <w:tc>
          <w:tcPr>
            <w:tcW w:w="1291" w:type="dxa"/>
            <w:noWrap w:val="0"/>
            <w:vAlign w:val="center"/>
          </w:tcPr>
          <w:p w14:paraId="6BE5916B">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绿化工</w:t>
            </w:r>
          </w:p>
        </w:tc>
        <w:tc>
          <w:tcPr>
            <w:tcW w:w="1291" w:type="dxa"/>
            <w:noWrap w:val="0"/>
            <w:vAlign w:val="center"/>
          </w:tcPr>
          <w:p w14:paraId="1D93298A">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4</w:t>
            </w:r>
          </w:p>
        </w:tc>
        <w:tc>
          <w:tcPr>
            <w:tcW w:w="1240" w:type="dxa"/>
            <w:noWrap w:val="0"/>
            <w:vAlign w:val="center"/>
          </w:tcPr>
          <w:p w14:paraId="3C2EDE6C">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4</w:t>
            </w:r>
          </w:p>
        </w:tc>
        <w:tc>
          <w:tcPr>
            <w:tcW w:w="4696" w:type="dxa"/>
            <w:noWrap w:val="0"/>
            <w:vAlign w:val="center"/>
          </w:tcPr>
          <w:p w14:paraId="24752E4E">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vertAlign w:val="baseline"/>
                <w:lang w:val="en-US" w:eastAsia="zh-CN"/>
              </w:rPr>
              <w:t>供应商根据现场服务需要配备符合采购人要求的绿化服务人员。</w:t>
            </w:r>
          </w:p>
          <w:p w14:paraId="76E75074">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val="0"/>
                <w:bCs w:val="0"/>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注：提供人员身份证扫描件，加盖电子签章或盖章上传至电子响应文件，不提供按无效标处理。</w:t>
            </w:r>
          </w:p>
        </w:tc>
      </w:tr>
      <w:tr w14:paraId="3A60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2150" w:type="dxa"/>
            <w:gridSpan w:val="2"/>
            <w:noWrap w:val="0"/>
            <w:vAlign w:val="center"/>
          </w:tcPr>
          <w:p w14:paraId="2B35831A">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合计</w:t>
            </w:r>
          </w:p>
        </w:tc>
        <w:tc>
          <w:tcPr>
            <w:tcW w:w="1291" w:type="dxa"/>
            <w:noWrap w:val="0"/>
            <w:vAlign w:val="center"/>
          </w:tcPr>
          <w:p w14:paraId="548FC805">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23</w:t>
            </w:r>
          </w:p>
        </w:tc>
        <w:tc>
          <w:tcPr>
            <w:tcW w:w="1240" w:type="dxa"/>
            <w:noWrap w:val="0"/>
            <w:vAlign w:val="center"/>
          </w:tcPr>
          <w:p w14:paraId="4D7350D9">
            <w:pPr>
              <w:keepNext w:val="0"/>
              <w:keepLines w:val="0"/>
              <w:numPr>
                <w:ilvl w:val="0"/>
                <w:numId w:val="0"/>
              </w:numPr>
              <w:suppressLineNumbers w:val="0"/>
              <w:spacing w:before="0" w:beforeAutospacing="0" w:after="0" w:afterAutospacing="0" w:line="240" w:lineRule="auto"/>
              <w:ind w:left="0" w:right="0"/>
              <w:jc w:val="center"/>
              <w:rPr>
                <w:rFonts w:hint="eastAsia" w:ascii="宋体" w:hAnsi="宋体" w:eastAsia="宋体" w:cs="宋体"/>
                <w:b w:val="0"/>
                <w:bCs w:val="0"/>
                <w:color w:val="auto"/>
                <w:kern w:val="0"/>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vertAlign w:val="baseline"/>
                <w:lang w:val="en-US" w:eastAsia="zh-CN" w:bidi="ar-SA"/>
              </w:rPr>
              <w:t>23</w:t>
            </w:r>
          </w:p>
        </w:tc>
        <w:tc>
          <w:tcPr>
            <w:tcW w:w="4696" w:type="dxa"/>
            <w:noWrap w:val="0"/>
            <w:vAlign w:val="top"/>
          </w:tcPr>
          <w:p w14:paraId="47B39963">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注：1.物业管理服务人员需求为项目采购需求服务的实质性要求和条件，供应商必须实质性响应，未实质性响应作无效标处理。</w:t>
            </w:r>
          </w:p>
          <w:p w14:paraId="4EC8C0F2">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b/>
                <w:bCs/>
                <w:color w:val="auto"/>
                <w:kern w:val="0"/>
                <w:sz w:val="24"/>
                <w:szCs w:val="24"/>
                <w:highlight w:val="none"/>
                <w:vertAlign w:val="baseline"/>
                <w:lang w:val="en-US" w:eastAsia="zh-CN"/>
              </w:rPr>
            </w:pPr>
            <w:r>
              <w:rPr>
                <w:rFonts w:hint="eastAsia" w:ascii="宋体" w:hAnsi="宋体" w:eastAsia="宋体" w:cs="宋体"/>
                <w:b/>
                <w:bCs/>
                <w:color w:val="auto"/>
                <w:kern w:val="0"/>
                <w:sz w:val="24"/>
                <w:szCs w:val="24"/>
                <w:highlight w:val="none"/>
                <w:vertAlign w:val="baseline"/>
                <w:lang w:val="en-US" w:eastAsia="zh-CN"/>
              </w:rPr>
              <w:t>2.供应商针对上述要求在“商务和技术要求响应偏离表”中逐条列出响应及偏离情况，采购需求中要求提供证明材料的，以证明材料为准；采购需求中未要求提供证明材料的，以响应偏离表中偏离情况为准；未按要求提供证明材料或未在响应偏离表中列明的对应项按无效标处理。</w:t>
            </w:r>
          </w:p>
        </w:tc>
      </w:tr>
    </w:tbl>
    <w:p w14:paraId="747CC395">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5.1供应商应当自行为服务人员办理必需的保险，有关人员伤亡及第三者责任险均应当考虑在报价因素中。</w:t>
      </w:r>
    </w:p>
    <w:p w14:paraId="0503A881">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5.2本项目服务的团队人数不得少于采购人需求核定的人数配备（23人）。</w:t>
      </w:r>
    </w:p>
    <w:p w14:paraId="01AE6CFA">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5.3供应商按劳动法规定规范用工，与劳动者签订劳动合同，和支付劳动报酬和相应费用等。</w:t>
      </w:r>
    </w:p>
    <w:p w14:paraId="0545C451">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5.4服务人员应符合本工作的身体健康状况，无重大疾病或传染病，精神饱满，统一服装，规范整齐，具备较高的道德品质、较强的责任心、良好的服务意识。</w:t>
      </w:r>
    </w:p>
    <w:p w14:paraId="1F8C5639">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 成交供应商保证按响应文件所，本项目员工上岗培训率应达到100％。</w:t>
      </w:r>
    </w:p>
    <w:p w14:paraId="097B15FA">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 成交供应所必须保证项目负责人及主管人员的稳定，不得中途（合同期内）调整上述人员离开采购人责任区域。如成交供应商擅自调整，则视为违反合同，采购单位有权解除合同，且不承担任何法律责任和经济责任。</w:t>
      </w:r>
    </w:p>
    <w:p w14:paraId="2187DFE2">
      <w:pPr>
        <w:widowControl w:val="0"/>
        <w:numPr>
          <w:ilvl w:val="0"/>
          <w:numId w:val="0"/>
        </w:numPr>
        <w:spacing w:line="240" w:lineRule="auto"/>
        <w:jc w:val="both"/>
        <w:rPr>
          <w:rFonts w:hint="eastAsia"/>
          <w:highlight w:val="none"/>
          <w:lang w:val="en-US" w:eastAsia="zh-CN"/>
        </w:rPr>
      </w:pPr>
      <w:r>
        <w:rPr>
          <w:rFonts w:hint="eastAsia" w:ascii="宋体" w:hAnsi="宋体" w:eastAsia="宋体" w:cs="宋体"/>
          <w:sz w:val="24"/>
          <w:szCs w:val="24"/>
          <w:highlight w:val="none"/>
          <w:lang w:val="en-US" w:eastAsia="zh-CN"/>
        </w:rPr>
        <w:t>5.7合同签订后，3日内主要管理人员到岗，7日内其他工作人员到岗。</w:t>
      </w:r>
    </w:p>
    <w:p w14:paraId="71858A40">
      <w:pPr>
        <w:spacing w:line="360" w:lineRule="auto"/>
        <w:rPr>
          <w:rFonts w:hint="eastAsia" w:ascii="宋体" w:hAnsi="宋体" w:eastAsia="宋体" w:cs="宋体"/>
          <w:color w:val="auto"/>
          <w:sz w:val="24"/>
          <w:highlight w:val="none"/>
          <w:lang w:eastAsia="zh-CN"/>
        </w:rPr>
      </w:pPr>
      <w:r>
        <w:rPr>
          <w:rFonts w:hint="eastAsia" w:ascii="宋体" w:hAnsi="宋体" w:eastAsia="宋体" w:cs="宋体"/>
          <w:sz w:val="24"/>
          <w:szCs w:val="24"/>
          <w:highlight w:val="none"/>
          <w:lang w:val="en-US" w:eastAsia="zh-CN"/>
        </w:rPr>
        <w:t>5.8</w:t>
      </w:r>
      <w:r>
        <w:rPr>
          <w:rFonts w:hint="eastAsia" w:ascii="宋体" w:hAnsi="宋体" w:eastAsia="宋体" w:cs="宋体"/>
          <w:color w:val="auto"/>
          <w:sz w:val="24"/>
          <w:highlight w:val="none"/>
        </w:rPr>
        <w:t>合同签订后预付当月应支付额的40%；采购人根据每月成交供应商的考核得分情况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次月支付上月物业服务费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寒暑假除外</w:t>
      </w:r>
      <w:r>
        <w:rPr>
          <w:rFonts w:hint="eastAsia" w:ascii="宋体" w:hAnsi="宋体" w:cs="宋体"/>
          <w:color w:val="auto"/>
          <w:sz w:val="24"/>
          <w:highlight w:val="none"/>
          <w:lang w:eastAsia="zh-CN"/>
        </w:rPr>
        <w:t>，（</w:t>
      </w:r>
      <w:r>
        <w:rPr>
          <w:rFonts w:hint="eastAsia" w:ascii="宋体" w:hAnsi="宋体" w:cs="宋体"/>
          <w:b/>
          <w:bCs/>
          <w:color w:val="auto"/>
          <w:sz w:val="24"/>
          <w:highlight w:val="none"/>
          <w:lang w:val="en-US" w:eastAsia="zh-CN"/>
        </w:rPr>
        <w:t>第一个月付款应扣除已支付的预付款</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w:t>
      </w:r>
    </w:p>
    <w:p w14:paraId="22FED4AD">
      <w:pPr>
        <w:spacing w:line="360" w:lineRule="auto"/>
        <w:rPr>
          <w:rFonts w:hint="eastAsia" w:ascii="宋体" w:hAnsi="宋体" w:eastAsia="宋体" w:cs="宋体"/>
          <w:color w:val="auto"/>
          <w:sz w:val="24"/>
          <w:highlight w:val="none"/>
          <w:lang w:val="en-US"/>
        </w:rPr>
      </w:pPr>
      <w:r>
        <w:rPr>
          <w:rFonts w:hint="eastAsia" w:ascii="宋体" w:hAnsi="宋体" w:cs="宋体"/>
          <w:color w:val="auto"/>
          <w:kern w:val="2"/>
          <w:sz w:val="24"/>
          <w:szCs w:val="24"/>
          <w:highlight w:val="none"/>
          <w:lang w:val="en-US" w:eastAsia="zh-CN" w:bidi="ar-SA"/>
        </w:rPr>
        <w:t>5.9</w:t>
      </w:r>
      <w:r>
        <w:rPr>
          <w:rFonts w:hint="eastAsia" w:ascii="宋体" w:hAnsi="宋体" w:eastAsia="宋体" w:cs="宋体"/>
          <w:color w:val="auto"/>
          <w:kern w:val="2"/>
          <w:sz w:val="24"/>
          <w:szCs w:val="24"/>
          <w:highlight w:val="none"/>
          <w:lang w:val="en-US" w:eastAsia="zh-CN" w:bidi="ar-SA"/>
        </w:rPr>
        <w:t>成交供应商当月考核得分在90分以上的（含90分）采购人全额支付月服务费；当月考核得分在90分以下，暂缓支付并要求整改，达到标准后再支付；成交供应商累计三个月考核得分低于70分的，采购人有权终止合同，物业公司须无条件按服务对象要求办理移交、退场手续。</w:t>
      </w:r>
    </w:p>
    <w:p w14:paraId="759333F8">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5.10</w:t>
      </w:r>
      <w:r>
        <w:rPr>
          <w:rFonts w:hint="eastAsia" w:ascii="宋体" w:hAnsi="宋体" w:eastAsia="宋体" w:cs="宋体"/>
          <w:color w:val="auto"/>
          <w:sz w:val="24"/>
          <w:highlight w:val="none"/>
        </w:rPr>
        <w:t>合同到期前三个月，暂缓付款，须结清农民工工资，完成所有交接项目，待采购人考核合格后一次性付清。</w:t>
      </w:r>
    </w:p>
    <w:p w14:paraId="2F679039">
      <w:pPr>
        <w:widowControl w:val="0"/>
        <w:numPr>
          <w:ilvl w:val="0"/>
          <w:numId w:val="0"/>
        </w:numPr>
        <w:spacing w:line="420" w:lineRule="exact"/>
        <w:jc w:val="both"/>
        <w:rPr>
          <w:rFonts w:hint="eastAsia" w:ascii="宋体" w:hAnsi="宋体" w:eastAsia="宋体" w:cs="宋体"/>
          <w:sz w:val="24"/>
          <w:szCs w:val="24"/>
          <w:highlight w:val="none"/>
          <w:lang w:val="en-US" w:eastAsia="zh-CN"/>
        </w:rPr>
      </w:pPr>
    </w:p>
    <w:p w14:paraId="6411919A">
      <w:pPr>
        <w:widowControl w:val="0"/>
        <w:numPr>
          <w:ilvl w:val="0"/>
          <w:numId w:val="0"/>
        </w:numPr>
        <w:spacing w:line="420" w:lineRule="exact"/>
        <w:jc w:val="both"/>
        <w:rPr>
          <w:rFonts w:hint="eastAsia"/>
          <w:highlight w:val="none"/>
          <w:lang w:val="en-US" w:eastAsia="zh-CN"/>
        </w:rPr>
      </w:pP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验收标准与要求</w:t>
      </w:r>
      <w:r>
        <w:rPr>
          <w:rFonts w:hint="eastAsia" w:ascii="宋体" w:hAnsi="宋体" w:eastAsia="宋体" w:cs="宋体"/>
          <w:sz w:val="24"/>
          <w:szCs w:val="24"/>
          <w:highlight w:val="none"/>
          <w:lang w:val="en-US" w:eastAsia="zh-CN"/>
        </w:rPr>
        <w:t>：考核合格。具体考核标准详见表一；</w:t>
      </w:r>
    </w:p>
    <w:p w14:paraId="76F10838">
      <w:pPr>
        <w:widowControl w:val="0"/>
        <w:numPr>
          <w:ilvl w:val="0"/>
          <w:numId w:val="0"/>
        </w:numPr>
        <w:spacing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表一：江苏省盱眙中等专业学校物业月度考核表</w:t>
      </w:r>
    </w:p>
    <w:p w14:paraId="392875AC">
      <w:pPr>
        <w:widowControl w:val="0"/>
        <w:numPr>
          <w:ilvl w:val="0"/>
          <w:numId w:val="0"/>
        </w:numPr>
        <w:spacing w:line="420" w:lineRule="exact"/>
        <w:jc w:val="both"/>
        <w:rPr>
          <w:rFonts w:hint="eastAsia" w:ascii="宋体" w:hAnsi="宋体" w:eastAsia="宋体" w:cs="宋体"/>
          <w:sz w:val="24"/>
          <w:szCs w:val="24"/>
          <w:highlight w:val="none"/>
          <w:lang w:val="en-US" w:eastAsia="zh-CN"/>
        </w:rPr>
      </w:pPr>
    </w:p>
    <w:p w14:paraId="5F44F98C">
      <w:pPr>
        <w:widowControl w:val="0"/>
        <w:numPr>
          <w:ilvl w:val="0"/>
          <w:numId w:val="0"/>
        </w:numPr>
        <w:spacing w:line="42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考核人：</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 xml:space="preserve">                       时间：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 xml:space="preserve"> 年</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 xml:space="preserve"> 月</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日</w:t>
      </w:r>
    </w:p>
    <w:tbl>
      <w:tblPr>
        <w:tblStyle w:val="14"/>
        <w:tblpPr w:leftFromText="180" w:rightFromText="180" w:vertAnchor="text" w:horzAnchor="page" w:tblpX="1230" w:tblpY="866"/>
        <w:tblOverlap w:val="never"/>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07"/>
        <w:gridCol w:w="6075"/>
        <w:gridCol w:w="790"/>
        <w:gridCol w:w="728"/>
      </w:tblGrid>
      <w:tr w14:paraId="1000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1" w:type="dxa"/>
            <w:noWrap w:val="0"/>
            <w:vAlign w:val="center"/>
          </w:tcPr>
          <w:p w14:paraId="38350BA2">
            <w:pPr>
              <w:widowControl w:val="0"/>
              <w:numPr>
                <w:ilvl w:val="0"/>
                <w:numId w:val="0"/>
              </w:numPr>
              <w:spacing w:after="0" w:line="42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807" w:type="dxa"/>
            <w:noWrap w:val="0"/>
            <w:vAlign w:val="center"/>
          </w:tcPr>
          <w:p w14:paraId="49556C6E">
            <w:pPr>
              <w:widowControl w:val="0"/>
              <w:numPr>
                <w:ilvl w:val="0"/>
                <w:numId w:val="0"/>
              </w:numPr>
              <w:spacing w:after="0" w:line="42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w:t>
            </w:r>
          </w:p>
        </w:tc>
        <w:tc>
          <w:tcPr>
            <w:tcW w:w="6075" w:type="dxa"/>
            <w:noWrap w:val="0"/>
            <w:vAlign w:val="center"/>
          </w:tcPr>
          <w:p w14:paraId="70857D03">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w:t>
            </w:r>
          </w:p>
        </w:tc>
        <w:tc>
          <w:tcPr>
            <w:tcW w:w="790" w:type="dxa"/>
            <w:noWrap w:val="0"/>
            <w:vAlign w:val="center"/>
          </w:tcPr>
          <w:p w14:paraId="1D3ECF93">
            <w:pPr>
              <w:widowControl w:val="0"/>
              <w:numPr>
                <w:ilvl w:val="0"/>
                <w:numId w:val="0"/>
              </w:numPr>
              <w:spacing w:after="0" w:line="42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分值</w:t>
            </w:r>
          </w:p>
        </w:tc>
        <w:tc>
          <w:tcPr>
            <w:tcW w:w="728" w:type="dxa"/>
            <w:noWrap w:val="0"/>
            <w:vAlign w:val="center"/>
          </w:tcPr>
          <w:p w14:paraId="79655FFD">
            <w:pPr>
              <w:widowControl w:val="0"/>
              <w:numPr>
                <w:ilvl w:val="0"/>
                <w:numId w:val="0"/>
              </w:numPr>
              <w:spacing w:after="0" w:line="42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考核得分</w:t>
            </w:r>
          </w:p>
        </w:tc>
      </w:tr>
      <w:tr w14:paraId="5B9C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restart"/>
            <w:noWrap w:val="0"/>
            <w:vAlign w:val="center"/>
          </w:tcPr>
          <w:p w14:paraId="4CD59EFE">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807" w:type="dxa"/>
            <w:vMerge w:val="restart"/>
            <w:noWrap w:val="0"/>
            <w:vAlign w:val="center"/>
          </w:tcPr>
          <w:p w14:paraId="60ABB942">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总则</w:t>
            </w:r>
          </w:p>
        </w:tc>
        <w:tc>
          <w:tcPr>
            <w:tcW w:w="6075" w:type="dxa"/>
            <w:noWrap w:val="0"/>
            <w:vAlign w:val="center"/>
          </w:tcPr>
          <w:p w14:paraId="31841CF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1.环境卫生分工明确，工作有标准细则，检查有记录，且责任到人；项目经理必须全天在岗，且管理督查到位；公司每周向学校汇报一次整体情况，落实学校交办事项；工具物品配备到位。</w:t>
            </w:r>
          </w:p>
        </w:tc>
        <w:tc>
          <w:tcPr>
            <w:tcW w:w="790" w:type="dxa"/>
            <w:noWrap w:val="0"/>
            <w:vAlign w:val="center"/>
          </w:tcPr>
          <w:p w14:paraId="64AC2C0B">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8" w:type="dxa"/>
            <w:noWrap w:val="0"/>
            <w:vAlign w:val="top"/>
          </w:tcPr>
          <w:p w14:paraId="212741B5">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5303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101EEC50">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807" w:type="dxa"/>
            <w:vMerge w:val="continue"/>
            <w:noWrap w:val="0"/>
            <w:vAlign w:val="center"/>
          </w:tcPr>
          <w:p w14:paraId="3605B49D">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6075" w:type="dxa"/>
            <w:noWrap w:val="0"/>
            <w:vAlign w:val="center"/>
          </w:tcPr>
          <w:p w14:paraId="7B08C5CA">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2.统一着装、佩戴标志，文明规范服务。</w:t>
            </w:r>
          </w:p>
        </w:tc>
        <w:tc>
          <w:tcPr>
            <w:tcW w:w="790" w:type="dxa"/>
            <w:noWrap w:val="0"/>
            <w:vAlign w:val="center"/>
          </w:tcPr>
          <w:p w14:paraId="14161D47">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8" w:type="dxa"/>
            <w:noWrap w:val="0"/>
            <w:vAlign w:val="top"/>
          </w:tcPr>
          <w:p w14:paraId="2CF8587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5993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13EF93A5">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807" w:type="dxa"/>
            <w:vMerge w:val="continue"/>
            <w:noWrap w:val="0"/>
            <w:vAlign w:val="top"/>
          </w:tcPr>
          <w:p w14:paraId="023F16DD">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6075" w:type="dxa"/>
            <w:noWrap w:val="0"/>
            <w:vAlign w:val="top"/>
          </w:tcPr>
          <w:p w14:paraId="7963052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3.总人数不少于23人（含项目经理），身体健康，工作认真负责并定期接受培训。</w:t>
            </w:r>
          </w:p>
        </w:tc>
        <w:tc>
          <w:tcPr>
            <w:tcW w:w="790" w:type="dxa"/>
            <w:noWrap w:val="0"/>
            <w:vAlign w:val="top"/>
          </w:tcPr>
          <w:p w14:paraId="2297422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8" w:type="dxa"/>
            <w:noWrap w:val="0"/>
            <w:vAlign w:val="top"/>
          </w:tcPr>
          <w:p w14:paraId="7809CB0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17BA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0FF83DC6">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p>
        </w:tc>
        <w:tc>
          <w:tcPr>
            <w:tcW w:w="807" w:type="dxa"/>
            <w:vMerge w:val="restart"/>
            <w:noWrap w:val="0"/>
            <w:vAlign w:val="center"/>
          </w:tcPr>
          <w:p w14:paraId="6FA2C014">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室内</w:t>
            </w:r>
          </w:p>
        </w:tc>
        <w:tc>
          <w:tcPr>
            <w:tcW w:w="6075" w:type="dxa"/>
            <w:noWrap w:val="0"/>
            <w:vAlign w:val="center"/>
          </w:tcPr>
          <w:p w14:paraId="1E4A2D38">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1.综合楼大厅（含玻璃门、墙壁、地面）、楼道地面、各层走廊、楼梯每日擦拖洗一次，巡回保洁，无积灰、污迹、垃圾、水。</w:t>
            </w:r>
          </w:p>
        </w:tc>
        <w:tc>
          <w:tcPr>
            <w:tcW w:w="790" w:type="dxa"/>
            <w:noWrap w:val="0"/>
            <w:vAlign w:val="top"/>
          </w:tcPr>
          <w:p w14:paraId="3472F277">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445B57B0">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17CC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4D60CD6F">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5581D7B1">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46BE7EE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2.扶手、门、会议室：每日擦抹一次，无灰尘、污迹。</w:t>
            </w:r>
          </w:p>
        </w:tc>
        <w:tc>
          <w:tcPr>
            <w:tcW w:w="790" w:type="dxa"/>
            <w:noWrap w:val="0"/>
            <w:vAlign w:val="top"/>
          </w:tcPr>
          <w:p w14:paraId="5C38BCCF">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45E44531">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4B39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vMerge w:val="continue"/>
            <w:noWrap w:val="0"/>
            <w:vAlign w:val="top"/>
          </w:tcPr>
          <w:p w14:paraId="740D0B0A">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0D11C0B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4C39808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3.天花板、公共楼道灯、消防设施等：消防设施每周内外清洁一次，其他每月除尘一次，无明显积灰、虫网。</w:t>
            </w:r>
          </w:p>
        </w:tc>
        <w:tc>
          <w:tcPr>
            <w:tcW w:w="790" w:type="dxa"/>
            <w:noWrap w:val="0"/>
            <w:vAlign w:val="top"/>
          </w:tcPr>
          <w:p w14:paraId="24AFBB4E">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1FB93B0B">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409D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74885151">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235F313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0DF5DA60">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4.玻璃及幕墙：行政楼门厅每月清洗一次；其他每半年清洁一次，要求无积灰、污迹。（含所有窗户玻璃）</w:t>
            </w:r>
          </w:p>
        </w:tc>
        <w:tc>
          <w:tcPr>
            <w:tcW w:w="790" w:type="dxa"/>
            <w:noWrap w:val="0"/>
            <w:vAlign w:val="top"/>
          </w:tcPr>
          <w:p w14:paraId="595575D1">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55FF252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1538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1B0D1E9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755850B0">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3B7B3207">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5.会议室、多功能报告厅依据会议、活动日程安排提前搞好卫生保洁，会议、活动期间做好服务工作，会议或活动结束后打扫干净。</w:t>
            </w:r>
          </w:p>
        </w:tc>
        <w:tc>
          <w:tcPr>
            <w:tcW w:w="790" w:type="dxa"/>
            <w:noWrap w:val="0"/>
            <w:vAlign w:val="center"/>
          </w:tcPr>
          <w:p w14:paraId="6E4720C1">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517181AC">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63A4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715D56CF">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22FB19D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47D851CB">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所有公共卫生间每天上、下午至少各拖洗两次，保持地面清洁、无杂物、无积水、无毛发、无异味。便池、水池下水道（含学生宿舍）要畅通，如有堵塞，及时疏通。墙面四周及阴角做到无水迹、无蜘蛛网；天花板上无污渍、无漏水或有小水泡等现象，保持干净、清洁，完好无损；确保运作正常；配备洗手液，每日检查，发现用完及时补充。瓷砖：2米以下每日擦抹一次；2米以上每月清洁一次，无明显积灰、水渍</w:t>
            </w:r>
          </w:p>
        </w:tc>
        <w:tc>
          <w:tcPr>
            <w:tcW w:w="790" w:type="dxa"/>
            <w:noWrap w:val="0"/>
            <w:vAlign w:val="center"/>
          </w:tcPr>
          <w:p w14:paraId="6D109EF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507314EF">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p>
        </w:tc>
      </w:tr>
      <w:tr w14:paraId="23D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3FC3936E">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749EC20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3408AE4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7.创业一条街室内楼梯、扶手每周清扫一次，无积灰、污迹、垃圾、水。</w:t>
            </w:r>
          </w:p>
        </w:tc>
        <w:tc>
          <w:tcPr>
            <w:tcW w:w="790" w:type="dxa"/>
            <w:noWrap w:val="0"/>
            <w:vAlign w:val="center"/>
          </w:tcPr>
          <w:p w14:paraId="497990D2">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3DE0D1F1">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0DB0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7A82B389">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807" w:type="dxa"/>
            <w:vMerge w:val="restart"/>
            <w:noWrap w:val="0"/>
            <w:vAlign w:val="center"/>
          </w:tcPr>
          <w:p w14:paraId="3D0380B6">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室外及维修</w:t>
            </w:r>
          </w:p>
        </w:tc>
        <w:tc>
          <w:tcPr>
            <w:tcW w:w="6075" w:type="dxa"/>
            <w:noWrap w:val="0"/>
            <w:vAlign w:val="center"/>
          </w:tcPr>
          <w:p w14:paraId="225E7150">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学校道路大环境：制定巡回捡拾制度。在学生清扫道路后巡回检查校区大环境，负责二次捡拾、清扫，确保无纸屑、无果壳、无烟头、无飘浮物等其它垃圾，及时向学校反映道路、道板等缺损破坏情况，及时发现损坏的建筑墙体墙砖、地砖、下水盖板、窨井盖并维修。</w:t>
            </w:r>
          </w:p>
        </w:tc>
        <w:tc>
          <w:tcPr>
            <w:tcW w:w="790" w:type="dxa"/>
            <w:noWrap w:val="0"/>
            <w:vAlign w:val="center"/>
          </w:tcPr>
          <w:p w14:paraId="207C1CFC">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7D7C2251">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2D78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58F2938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4F44F817">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02FC8CEA">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2.垃圾收集：对垃圾每天进行清除、收集，做到垃圾日产日清，保持垃圾全部进垃圾箱，保持箱外无垃圾。</w:t>
            </w:r>
          </w:p>
        </w:tc>
        <w:tc>
          <w:tcPr>
            <w:tcW w:w="790" w:type="dxa"/>
            <w:noWrap w:val="0"/>
            <w:vAlign w:val="center"/>
          </w:tcPr>
          <w:p w14:paraId="69B853A4">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21BDB9B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02D9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19C408C5">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7BF5BD08">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2EB3905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3.垃圾箱（桶）：对垃圾箱（桶）每天清刷，做到箱（桶）体清洁无污迹、无异味、无损坏。垃圾箱周围无遗留垃圾。</w:t>
            </w:r>
          </w:p>
        </w:tc>
        <w:tc>
          <w:tcPr>
            <w:tcW w:w="790" w:type="dxa"/>
            <w:noWrap w:val="0"/>
            <w:vAlign w:val="center"/>
          </w:tcPr>
          <w:p w14:paraId="3CF76CC0">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373FCA3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0CD1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270E38EE">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0DCE62F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45E20CF3">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4.大门：东大门和南大门每月擦拭一次，无灰尘、无污迹。</w:t>
            </w:r>
          </w:p>
        </w:tc>
        <w:tc>
          <w:tcPr>
            <w:tcW w:w="790" w:type="dxa"/>
            <w:noWrap w:val="0"/>
            <w:vAlign w:val="center"/>
          </w:tcPr>
          <w:p w14:paraId="729083B1">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2F74BF0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3040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6E823DF3">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0BBA2943">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4B9CBCA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5.窨井（含集水井）每半年清理一次，内壁无粘附物、井底无沉淀物。</w:t>
            </w:r>
          </w:p>
        </w:tc>
        <w:tc>
          <w:tcPr>
            <w:tcW w:w="790" w:type="dxa"/>
            <w:noWrap w:val="0"/>
            <w:vAlign w:val="center"/>
          </w:tcPr>
          <w:p w14:paraId="3D0BC1AE">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67C36FE9">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1031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1C0C60E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51E71CF3">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625FFE8D">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6.明沟：每周清扫一次，无明显垃圾，无堵塞。</w:t>
            </w:r>
          </w:p>
        </w:tc>
        <w:tc>
          <w:tcPr>
            <w:tcW w:w="790" w:type="dxa"/>
            <w:noWrap w:val="0"/>
            <w:vAlign w:val="center"/>
          </w:tcPr>
          <w:p w14:paraId="3EB0A5B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24E38C5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18AE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660982A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417D9B9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1D5ABE9A">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7.消毒灭害：窨井、明沟、垃圾房喷洒药水，每季一次（3、5、7、9月每月喷洒一次），每年灭鼠、灭蟑螂三次，无明显蚊蝇滋生地、鼠迹。遇疫情根据学校要求常态消杀并做好台账记录。</w:t>
            </w:r>
          </w:p>
        </w:tc>
        <w:tc>
          <w:tcPr>
            <w:tcW w:w="790" w:type="dxa"/>
            <w:noWrap w:val="0"/>
            <w:vAlign w:val="center"/>
          </w:tcPr>
          <w:p w14:paraId="4D0A0653">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126E6B83">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3C18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3E7EE0B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6D502AC3">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0418499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8.室内外楼梯、不锈钢扶手：每月清洗一次，无积灰、污迹、垃圾。</w:t>
            </w:r>
          </w:p>
        </w:tc>
        <w:tc>
          <w:tcPr>
            <w:tcW w:w="790" w:type="dxa"/>
            <w:noWrap w:val="0"/>
            <w:vAlign w:val="center"/>
          </w:tcPr>
          <w:p w14:paraId="1334E888">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04A773CF">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79FC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top"/>
          </w:tcPr>
          <w:p w14:paraId="6912697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627B1C2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525B4ED7">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9.可上去的屋顶和雨水沟不定期清扫，要求无积水、无垃圾。</w:t>
            </w:r>
          </w:p>
        </w:tc>
        <w:tc>
          <w:tcPr>
            <w:tcW w:w="790" w:type="dxa"/>
            <w:noWrap w:val="0"/>
            <w:vAlign w:val="center"/>
          </w:tcPr>
          <w:p w14:paraId="616D3938">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45888E1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6ED7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1" w:type="dxa"/>
            <w:vMerge w:val="continue"/>
            <w:noWrap w:val="0"/>
            <w:vAlign w:val="top"/>
          </w:tcPr>
          <w:p w14:paraId="2C9F2EB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top"/>
          </w:tcPr>
          <w:p w14:paraId="10A3B421">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1AB6042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10.垃圾清运：校园每天产生的垃圾做到及时集中堆放在指定位置，日产日清，及时外运。如遇学校重大活动等需要增加清运次数的，应随时响应。</w:t>
            </w:r>
          </w:p>
        </w:tc>
        <w:tc>
          <w:tcPr>
            <w:tcW w:w="790" w:type="dxa"/>
            <w:noWrap w:val="0"/>
            <w:vAlign w:val="center"/>
          </w:tcPr>
          <w:p w14:paraId="451CA05B">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71BC01F7">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5761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71" w:type="dxa"/>
            <w:vMerge w:val="continue"/>
            <w:noWrap w:val="0"/>
            <w:vAlign w:val="top"/>
          </w:tcPr>
          <w:p w14:paraId="4D5335A7">
            <w:pPr>
              <w:widowControl w:val="0"/>
              <w:numPr>
                <w:ilvl w:val="0"/>
                <w:numId w:val="0"/>
              </w:numPr>
              <w:spacing w:after="0" w:line="420" w:lineRule="exact"/>
              <w:jc w:val="both"/>
              <w:rPr>
                <w:rFonts w:hint="eastAsia" w:ascii="宋体" w:hAnsi="宋体" w:eastAsia="宋体" w:cs="宋体"/>
                <w:sz w:val="24"/>
                <w:szCs w:val="24"/>
                <w:highlight w:val="none"/>
              </w:rPr>
            </w:pPr>
          </w:p>
        </w:tc>
        <w:tc>
          <w:tcPr>
            <w:tcW w:w="807" w:type="dxa"/>
            <w:vMerge w:val="continue"/>
            <w:noWrap w:val="0"/>
            <w:vAlign w:val="top"/>
          </w:tcPr>
          <w:p w14:paraId="24D2009A">
            <w:pPr>
              <w:widowControl w:val="0"/>
              <w:numPr>
                <w:ilvl w:val="0"/>
                <w:numId w:val="0"/>
              </w:numPr>
              <w:spacing w:after="0" w:line="420" w:lineRule="exact"/>
              <w:jc w:val="both"/>
              <w:rPr>
                <w:rFonts w:hint="eastAsia" w:ascii="宋体" w:hAnsi="宋体" w:eastAsia="宋体" w:cs="宋体"/>
                <w:sz w:val="24"/>
                <w:szCs w:val="24"/>
                <w:highlight w:val="none"/>
              </w:rPr>
            </w:pPr>
          </w:p>
        </w:tc>
        <w:tc>
          <w:tcPr>
            <w:tcW w:w="6075" w:type="dxa"/>
            <w:noWrap w:val="0"/>
            <w:vAlign w:val="center"/>
          </w:tcPr>
          <w:p w14:paraId="02654400">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11.创业一条街沿街保洁。每天上下午各一次，确保无纸屑、无果壳、无烟头、无飘浮物等垃圾，无小广告，无乱涂乱画。遇重要节日和检查服从学校安排，强化保洁。</w:t>
            </w:r>
          </w:p>
        </w:tc>
        <w:tc>
          <w:tcPr>
            <w:tcW w:w="790" w:type="dxa"/>
            <w:noWrap w:val="0"/>
            <w:vAlign w:val="center"/>
          </w:tcPr>
          <w:p w14:paraId="7818FF68">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0C2CB47C">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3440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1" w:type="dxa"/>
            <w:vMerge w:val="continue"/>
            <w:noWrap w:val="0"/>
            <w:vAlign w:val="top"/>
          </w:tcPr>
          <w:p w14:paraId="4992B18B">
            <w:pPr>
              <w:widowControl w:val="0"/>
              <w:numPr>
                <w:ilvl w:val="0"/>
                <w:numId w:val="0"/>
              </w:numPr>
              <w:spacing w:after="0" w:line="420" w:lineRule="exact"/>
              <w:jc w:val="both"/>
              <w:rPr>
                <w:rFonts w:hint="eastAsia" w:ascii="宋体" w:hAnsi="宋体" w:eastAsia="宋体" w:cs="宋体"/>
                <w:sz w:val="24"/>
                <w:szCs w:val="24"/>
                <w:highlight w:val="none"/>
              </w:rPr>
            </w:pPr>
          </w:p>
        </w:tc>
        <w:tc>
          <w:tcPr>
            <w:tcW w:w="807" w:type="dxa"/>
            <w:vMerge w:val="continue"/>
            <w:noWrap w:val="0"/>
            <w:vAlign w:val="top"/>
          </w:tcPr>
          <w:p w14:paraId="67A2998B">
            <w:pPr>
              <w:widowControl w:val="0"/>
              <w:numPr>
                <w:ilvl w:val="0"/>
                <w:numId w:val="0"/>
              </w:numPr>
              <w:spacing w:after="0" w:line="420" w:lineRule="exact"/>
              <w:jc w:val="both"/>
              <w:rPr>
                <w:rFonts w:hint="eastAsia" w:ascii="宋体" w:hAnsi="宋体" w:eastAsia="宋体" w:cs="宋体"/>
                <w:sz w:val="24"/>
                <w:szCs w:val="24"/>
                <w:highlight w:val="none"/>
              </w:rPr>
            </w:pPr>
          </w:p>
        </w:tc>
        <w:tc>
          <w:tcPr>
            <w:tcW w:w="6075" w:type="dxa"/>
            <w:noWrap w:val="0"/>
            <w:vAlign w:val="center"/>
          </w:tcPr>
          <w:p w14:paraId="219FB07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12.校园内水池日常清理、饲养天鹅等。</w:t>
            </w:r>
          </w:p>
        </w:tc>
        <w:tc>
          <w:tcPr>
            <w:tcW w:w="790" w:type="dxa"/>
            <w:noWrap w:val="0"/>
            <w:vAlign w:val="top"/>
          </w:tcPr>
          <w:p w14:paraId="4A921AD9">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28" w:type="dxa"/>
            <w:noWrap w:val="0"/>
            <w:vAlign w:val="top"/>
          </w:tcPr>
          <w:p w14:paraId="7875A628">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061B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1" w:type="dxa"/>
            <w:noWrap w:val="0"/>
            <w:vAlign w:val="top"/>
          </w:tcPr>
          <w:p w14:paraId="1EA5C4A9">
            <w:pPr>
              <w:widowControl w:val="0"/>
              <w:numPr>
                <w:ilvl w:val="0"/>
                <w:numId w:val="0"/>
              </w:numPr>
              <w:spacing w:after="0" w:line="420" w:lineRule="exact"/>
              <w:jc w:val="center"/>
              <w:rPr>
                <w:rFonts w:hint="eastAsia" w:ascii="宋体" w:hAnsi="宋体" w:eastAsia="宋体" w:cs="宋体"/>
                <w:b/>
                <w:bCs/>
                <w:sz w:val="24"/>
                <w:szCs w:val="24"/>
                <w:highlight w:val="none"/>
              </w:rPr>
            </w:pPr>
          </w:p>
        </w:tc>
        <w:tc>
          <w:tcPr>
            <w:tcW w:w="807" w:type="dxa"/>
            <w:noWrap w:val="0"/>
            <w:vAlign w:val="top"/>
          </w:tcPr>
          <w:p w14:paraId="6DD6F6FD">
            <w:pPr>
              <w:widowControl w:val="0"/>
              <w:numPr>
                <w:ilvl w:val="0"/>
                <w:numId w:val="0"/>
              </w:numPr>
              <w:spacing w:after="0" w:line="420" w:lineRule="exact"/>
              <w:jc w:val="both"/>
              <w:rPr>
                <w:rFonts w:hint="eastAsia" w:ascii="宋体" w:hAnsi="宋体" w:eastAsia="宋体" w:cs="宋体"/>
                <w:b/>
                <w:bCs/>
                <w:sz w:val="24"/>
                <w:szCs w:val="24"/>
                <w:highlight w:val="none"/>
              </w:rPr>
            </w:pPr>
          </w:p>
        </w:tc>
        <w:tc>
          <w:tcPr>
            <w:tcW w:w="6075" w:type="dxa"/>
            <w:noWrap w:val="0"/>
            <w:vAlign w:val="center"/>
          </w:tcPr>
          <w:p w14:paraId="066A76DE">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其他要求：（1）根据植物生长情况和病虫害发生状况及时完成病虫害的防治，甲方负责监督实施；如未实施或实施不到位的，每次从履约保证金中扣除500元。（2）乙方根据季节与天气情况变化，综合研判绿化管护工作计划，并上报学校。</w:t>
            </w:r>
          </w:p>
        </w:tc>
        <w:tc>
          <w:tcPr>
            <w:tcW w:w="790" w:type="dxa"/>
            <w:noWrap w:val="0"/>
            <w:vAlign w:val="center"/>
          </w:tcPr>
          <w:p w14:paraId="1D0D39C3">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8" w:type="dxa"/>
            <w:noWrap w:val="0"/>
            <w:vAlign w:val="top"/>
          </w:tcPr>
          <w:p w14:paraId="6B5AF27F">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01AF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07CB3D2D">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807" w:type="dxa"/>
            <w:vMerge w:val="restart"/>
            <w:noWrap w:val="0"/>
            <w:vAlign w:val="center"/>
          </w:tcPr>
          <w:p w14:paraId="7BFBD2E1">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纪律考勤</w:t>
            </w:r>
          </w:p>
        </w:tc>
        <w:tc>
          <w:tcPr>
            <w:tcW w:w="6075" w:type="dxa"/>
            <w:noWrap w:val="0"/>
            <w:vAlign w:val="center"/>
          </w:tcPr>
          <w:p w14:paraId="14F1C4A8">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严格遵守劳动纪律，不迟到，不早退</w:t>
            </w:r>
          </w:p>
        </w:tc>
        <w:tc>
          <w:tcPr>
            <w:tcW w:w="790" w:type="dxa"/>
            <w:noWrap w:val="0"/>
            <w:vAlign w:val="top"/>
          </w:tcPr>
          <w:p w14:paraId="37F6F568">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8" w:type="dxa"/>
            <w:noWrap w:val="0"/>
            <w:vAlign w:val="top"/>
          </w:tcPr>
          <w:p w14:paraId="216DA36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7071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2460E4E4">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807" w:type="dxa"/>
            <w:vMerge w:val="continue"/>
            <w:noWrap w:val="0"/>
            <w:vAlign w:val="center"/>
          </w:tcPr>
          <w:p w14:paraId="0C1ED2B1">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6075" w:type="dxa"/>
            <w:noWrap w:val="0"/>
            <w:vAlign w:val="center"/>
          </w:tcPr>
          <w:p w14:paraId="1D60A528">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上班期间不离岗，不串岗，不干与本职工作无关的事</w:t>
            </w:r>
          </w:p>
        </w:tc>
        <w:tc>
          <w:tcPr>
            <w:tcW w:w="790" w:type="dxa"/>
            <w:noWrap w:val="0"/>
            <w:vAlign w:val="top"/>
          </w:tcPr>
          <w:p w14:paraId="7DF346CF">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8" w:type="dxa"/>
            <w:noWrap w:val="0"/>
            <w:vAlign w:val="top"/>
          </w:tcPr>
          <w:p w14:paraId="019E380D">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1AEB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71" w:type="dxa"/>
            <w:vMerge w:val="restart"/>
            <w:noWrap w:val="0"/>
            <w:vAlign w:val="center"/>
          </w:tcPr>
          <w:p w14:paraId="4F162A8D">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p>
        </w:tc>
        <w:tc>
          <w:tcPr>
            <w:tcW w:w="807" w:type="dxa"/>
            <w:vMerge w:val="restart"/>
            <w:noWrap w:val="0"/>
            <w:vAlign w:val="center"/>
          </w:tcPr>
          <w:p w14:paraId="75CBFA2D">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服务意识</w:t>
            </w:r>
          </w:p>
        </w:tc>
        <w:tc>
          <w:tcPr>
            <w:tcW w:w="6075" w:type="dxa"/>
            <w:noWrap w:val="0"/>
            <w:vAlign w:val="center"/>
          </w:tcPr>
          <w:p w14:paraId="0137104F">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微笑大方、热情服务、虚心接受他人的意见与建议</w:t>
            </w:r>
          </w:p>
        </w:tc>
        <w:tc>
          <w:tcPr>
            <w:tcW w:w="790" w:type="dxa"/>
            <w:noWrap w:val="0"/>
            <w:vAlign w:val="top"/>
          </w:tcPr>
          <w:p w14:paraId="1BF6CB3D">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8" w:type="dxa"/>
            <w:noWrap w:val="0"/>
            <w:vAlign w:val="top"/>
          </w:tcPr>
          <w:p w14:paraId="6DF22A6D">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5EE2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574A2049">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807" w:type="dxa"/>
            <w:vMerge w:val="continue"/>
            <w:noWrap w:val="0"/>
            <w:vAlign w:val="center"/>
          </w:tcPr>
          <w:p w14:paraId="4FB6E097">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p>
        </w:tc>
        <w:tc>
          <w:tcPr>
            <w:tcW w:w="6075" w:type="dxa"/>
            <w:noWrap w:val="0"/>
            <w:vAlign w:val="center"/>
          </w:tcPr>
          <w:p w14:paraId="6897D7B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按时完成领导交代的各项临时性其他工作</w:t>
            </w:r>
          </w:p>
        </w:tc>
        <w:tc>
          <w:tcPr>
            <w:tcW w:w="790" w:type="dxa"/>
            <w:noWrap w:val="0"/>
            <w:vAlign w:val="top"/>
          </w:tcPr>
          <w:p w14:paraId="473A6BAD">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8" w:type="dxa"/>
            <w:noWrap w:val="0"/>
            <w:vAlign w:val="top"/>
          </w:tcPr>
          <w:p w14:paraId="75D471E2">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2FE5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noWrap w:val="0"/>
            <w:vAlign w:val="center"/>
          </w:tcPr>
          <w:p w14:paraId="5DDC42C8">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p>
        </w:tc>
        <w:tc>
          <w:tcPr>
            <w:tcW w:w="807" w:type="dxa"/>
            <w:vMerge w:val="restart"/>
            <w:noWrap w:val="0"/>
            <w:vAlign w:val="center"/>
          </w:tcPr>
          <w:p w14:paraId="2C9982FF">
            <w:pPr>
              <w:widowControl w:val="0"/>
              <w:numPr>
                <w:ilvl w:val="0"/>
                <w:numId w:val="0"/>
              </w:numPr>
              <w:spacing w:after="0" w:line="420" w:lineRule="exact"/>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安全与卫生</w:t>
            </w:r>
          </w:p>
        </w:tc>
        <w:tc>
          <w:tcPr>
            <w:tcW w:w="6075" w:type="dxa"/>
            <w:noWrap w:val="0"/>
            <w:vAlign w:val="center"/>
          </w:tcPr>
          <w:p w14:paraId="15CC0660">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注意节水节电，如有滴、漏、跑、冒现象及时上报</w:t>
            </w:r>
          </w:p>
        </w:tc>
        <w:tc>
          <w:tcPr>
            <w:tcW w:w="790" w:type="dxa"/>
            <w:noWrap w:val="0"/>
            <w:vAlign w:val="top"/>
          </w:tcPr>
          <w:p w14:paraId="22F51CEF">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8" w:type="dxa"/>
            <w:noWrap w:val="0"/>
            <w:vAlign w:val="top"/>
          </w:tcPr>
          <w:p w14:paraId="073DB1D0">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32C0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noWrap w:val="0"/>
            <w:vAlign w:val="center"/>
          </w:tcPr>
          <w:p w14:paraId="181C003B">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807" w:type="dxa"/>
            <w:vMerge w:val="continue"/>
            <w:noWrap w:val="0"/>
            <w:vAlign w:val="center"/>
          </w:tcPr>
          <w:p w14:paraId="365F5F11">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c>
          <w:tcPr>
            <w:tcW w:w="6075" w:type="dxa"/>
            <w:noWrap w:val="0"/>
            <w:vAlign w:val="center"/>
          </w:tcPr>
          <w:p w14:paraId="3D1E4F04">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工作期间要严格执行有关规定，安全操作，以免发生意外</w:t>
            </w:r>
          </w:p>
        </w:tc>
        <w:tc>
          <w:tcPr>
            <w:tcW w:w="790" w:type="dxa"/>
            <w:noWrap w:val="0"/>
            <w:vAlign w:val="top"/>
          </w:tcPr>
          <w:p w14:paraId="0A6AC365">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28" w:type="dxa"/>
            <w:noWrap w:val="0"/>
            <w:vAlign w:val="top"/>
          </w:tcPr>
          <w:p w14:paraId="626E8685">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r w14:paraId="7510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3" w:type="dxa"/>
            <w:gridSpan w:val="3"/>
            <w:noWrap w:val="0"/>
            <w:vAlign w:val="center"/>
          </w:tcPr>
          <w:p w14:paraId="094B5F86">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考核总分</w:t>
            </w:r>
          </w:p>
        </w:tc>
        <w:tc>
          <w:tcPr>
            <w:tcW w:w="790" w:type="dxa"/>
            <w:noWrap w:val="0"/>
            <w:vAlign w:val="top"/>
          </w:tcPr>
          <w:p w14:paraId="6675E4EB">
            <w:pPr>
              <w:widowControl w:val="0"/>
              <w:numPr>
                <w:ilvl w:val="0"/>
                <w:numId w:val="0"/>
              </w:numPr>
              <w:spacing w:after="0" w:line="42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28" w:type="dxa"/>
            <w:noWrap w:val="0"/>
            <w:vAlign w:val="top"/>
          </w:tcPr>
          <w:p w14:paraId="6A576A16">
            <w:pPr>
              <w:widowControl w:val="0"/>
              <w:numPr>
                <w:ilvl w:val="0"/>
                <w:numId w:val="0"/>
              </w:numPr>
              <w:spacing w:after="0" w:line="420" w:lineRule="exact"/>
              <w:jc w:val="both"/>
              <w:rPr>
                <w:rFonts w:hint="eastAsia" w:ascii="宋体" w:hAnsi="宋体" w:eastAsia="宋体" w:cs="宋体"/>
                <w:sz w:val="24"/>
                <w:szCs w:val="24"/>
                <w:highlight w:val="none"/>
                <w:lang w:val="en-US" w:eastAsia="zh-CN"/>
              </w:rPr>
            </w:pPr>
          </w:p>
        </w:tc>
      </w:tr>
    </w:tbl>
    <w:p w14:paraId="62DC0C40">
      <w:pPr>
        <w:widowControl w:val="0"/>
        <w:numPr>
          <w:ilvl w:val="0"/>
          <w:numId w:val="0"/>
        </w:numPr>
        <w:spacing w:line="420" w:lineRule="exact"/>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其他说明的其他事项</w:t>
      </w:r>
    </w:p>
    <w:p w14:paraId="02618691">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（1）投标应以人民币报价。报价时应考虑所有可能影响到报价的价格因素，一旦投标最终成交，总价将包定，合同期内不予调整。</w:t>
      </w:r>
    </w:p>
    <w:p w14:paraId="5FF6524E">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（2）供应商应依法且按照本采购文件要求支付本项目的所有服务人员相关费用。</w:t>
      </w:r>
    </w:p>
    <w:p w14:paraId="3B6FFFD4">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是根据采购文件所确定的管理服务范围内的全部工作人员和内容的价格体现，是为完成采购文件规定的服务管理工作所涉及的一切费用，包括但不仅限于以下内容：人员费、保险费、培训费、体检费、服装费、住宿费、通讯费、劳保费、法定节假日加班费、设备费、运输费、利润、税金及完成本项目所涉及的其他费用等。</w:t>
      </w:r>
    </w:p>
    <w:p w14:paraId="5B06520A">
      <w:pPr>
        <w:widowControl w:val="0"/>
        <w:numPr>
          <w:ilvl w:val="0"/>
          <w:numId w:val="0"/>
        </w:numPr>
        <w:spacing w:line="420" w:lineRule="exact"/>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（4）本项目可</w:t>
      </w:r>
      <w:r>
        <w:rPr>
          <w:rFonts w:hint="eastAsia" w:ascii="宋体" w:hAnsi="宋体" w:eastAsia="宋体" w:cs="宋体"/>
          <w:sz w:val="24"/>
          <w:szCs w:val="24"/>
          <w:highlight w:val="none"/>
          <w:lang w:val="en-US" w:eastAsia="zh-CN"/>
        </w:rPr>
        <w:t>自行到江苏省盱眙中等专业学校对现场和环境进行勘察，潜在供应商可根据勘察结果综合考虑报价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勘察现场所发生的费用由供应商自行承担。在现场勘察过程中，供应商如果发生人身伤亡、财产或其他损失，无论何种原因造成，采购人均不负责。</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勘察过程中如有疑问可联系项</w:t>
      </w:r>
      <w:r>
        <w:rPr>
          <w:rFonts w:hint="eastAsia" w:ascii="宋体" w:hAnsi="宋体" w:eastAsia="宋体" w:cs="宋体"/>
          <w:color w:val="auto"/>
          <w:sz w:val="24"/>
          <w:szCs w:val="24"/>
          <w:highlight w:val="none"/>
          <w:lang w:val="en-US" w:eastAsia="zh-CN"/>
        </w:rPr>
        <w:t>目负责人</w:t>
      </w:r>
      <w:r>
        <w:rPr>
          <w:rFonts w:hint="eastAsia" w:ascii="宋体" w:hAnsi="宋体" w:cs="宋体"/>
          <w:color w:val="auto"/>
          <w:sz w:val="24"/>
          <w:szCs w:val="24"/>
          <w:highlight w:val="none"/>
          <w:lang w:val="en-US" w:eastAsia="zh-CN"/>
        </w:rPr>
        <w:t>赵主任</w:t>
      </w:r>
      <w:r>
        <w:rPr>
          <w:rFonts w:hint="eastAsia" w:ascii="宋体" w:hAnsi="宋体" w:eastAsia="宋体" w:cs="宋体"/>
          <w:color w:val="auto"/>
          <w:sz w:val="24"/>
          <w:szCs w:val="24"/>
          <w:highlight w:val="none"/>
          <w:lang w:val="en-US" w:eastAsia="zh-CN"/>
        </w:rPr>
        <w:t>，电话：</w:t>
      </w:r>
      <w:r>
        <w:rPr>
          <w:rFonts w:hint="eastAsia" w:ascii="宋体" w:hAnsi="宋体" w:cs="宋体"/>
          <w:color w:val="auto"/>
          <w:sz w:val="24"/>
          <w:szCs w:val="24"/>
          <w:highlight w:val="none"/>
          <w:lang w:val="en-US" w:eastAsia="zh-CN"/>
        </w:rPr>
        <w:t>13770441288</w:t>
      </w:r>
      <w:r>
        <w:rPr>
          <w:rFonts w:hint="eastAsia" w:ascii="宋体" w:hAnsi="宋体" w:eastAsia="宋体" w:cs="宋体"/>
          <w:color w:val="auto"/>
          <w:sz w:val="24"/>
          <w:szCs w:val="24"/>
          <w:highlight w:val="none"/>
          <w:lang w:val="en-US" w:eastAsia="zh-CN"/>
        </w:rPr>
        <w:t>。</w:t>
      </w:r>
    </w:p>
    <w:p w14:paraId="535555E5">
      <w:pPr>
        <w:widowControl w:val="0"/>
        <w:numPr>
          <w:ilvl w:val="0"/>
          <w:numId w:val="0"/>
        </w:numPr>
        <w:spacing w:line="420" w:lineRule="exact"/>
        <w:jc w:val="both"/>
        <w:rPr>
          <w:rFonts w:hint="eastAsia" w:ascii="宋体" w:hAnsi="宋体" w:eastAsia="宋体" w:cs="宋体"/>
          <w:sz w:val="24"/>
          <w:szCs w:val="24"/>
          <w:highlight w:val="none"/>
        </w:rPr>
      </w:pPr>
    </w:p>
    <w:p w14:paraId="45F220C9">
      <w:pPr>
        <w:pStyle w:val="8"/>
        <w:spacing w:line="440" w:lineRule="exact"/>
        <w:jc w:val="both"/>
        <w:rPr>
          <w:rFonts w:hint="eastAsia" w:ascii="宋体" w:hAnsi="宋体" w:eastAsia="宋体" w:cs="宋体"/>
          <w:b/>
          <w:sz w:val="32"/>
          <w:szCs w:val="32"/>
          <w:highlight w:val="none"/>
        </w:rPr>
      </w:pPr>
    </w:p>
    <w:p w14:paraId="1541EF79">
      <w:pPr>
        <w:pStyle w:val="8"/>
        <w:spacing w:line="440" w:lineRule="exact"/>
        <w:jc w:val="center"/>
        <w:rPr>
          <w:rFonts w:hint="eastAsia" w:ascii="宋体" w:hAnsi="宋体" w:eastAsia="宋体" w:cs="宋体"/>
          <w:b/>
          <w:sz w:val="32"/>
          <w:szCs w:val="32"/>
          <w:highlight w:val="none"/>
        </w:rPr>
      </w:pPr>
    </w:p>
    <w:p w14:paraId="3846F38D">
      <w:pPr>
        <w:pStyle w:val="8"/>
        <w:spacing w:line="440" w:lineRule="exact"/>
        <w:jc w:val="center"/>
        <w:rPr>
          <w:rFonts w:hint="eastAsia" w:ascii="宋体" w:hAnsi="宋体" w:eastAsia="宋体" w:cs="宋体"/>
          <w:b/>
          <w:sz w:val="32"/>
          <w:szCs w:val="32"/>
          <w:highlight w:val="none"/>
        </w:rPr>
      </w:pPr>
    </w:p>
    <w:p w14:paraId="41336CD8">
      <w:pPr>
        <w:pStyle w:val="8"/>
        <w:spacing w:line="440" w:lineRule="exact"/>
        <w:jc w:val="center"/>
        <w:rPr>
          <w:rFonts w:hint="eastAsia" w:ascii="宋体" w:hAnsi="宋体" w:eastAsia="宋体" w:cs="宋体"/>
          <w:b/>
          <w:sz w:val="32"/>
          <w:szCs w:val="32"/>
          <w:highlight w:val="none"/>
        </w:rPr>
      </w:pPr>
    </w:p>
    <w:p w14:paraId="193C4A47">
      <w:pPr>
        <w:pStyle w:val="8"/>
        <w:spacing w:line="440" w:lineRule="exact"/>
        <w:jc w:val="center"/>
        <w:rPr>
          <w:rFonts w:hint="eastAsia" w:ascii="宋体" w:hAnsi="宋体" w:eastAsia="宋体" w:cs="宋体"/>
          <w:b/>
          <w:sz w:val="32"/>
          <w:szCs w:val="32"/>
          <w:highlight w:val="none"/>
        </w:rPr>
      </w:pPr>
    </w:p>
    <w:p w14:paraId="1242768C">
      <w:pPr>
        <w:pStyle w:val="8"/>
        <w:spacing w:line="440" w:lineRule="exact"/>
        <w:jc w:val="center"/>
        <w:rPr>
          <w:rFonts w:hint="eastAsia" w:ascii="宋体" w:hAnsi="宋体" w:eastAsia="宋体" w:cs="宋体"/>
          <w:b/>
          <w:sz w:val="32"/>
          <w:szCs w:val="32"/>
          <w:highlight w:val="none"/>
        </w:rPr>
      </w:pPr>
    </w:p>
    <w:p w14:paraId="02887694">
      <w:pPr>
        <w:pStyle w:val="8"/>
        <w:spacing w:line="440" w:lineRule="exact"/>
        <w:jc w:val="center"/>
        <w:rPr>
          <w:rFonts w:hint="eastAsia" w:ascii="宋体" w:hAnsi="宋体" w:eastAsia="宋体" w:cs="宋体"/>
          <w:b/>
          <w:sz w:val="32"/>
          <w:szCs w:val="32"/>
          <w:highlight w:val="none"/>
        </w:rPr>
      </w:pPr>
    </w:p>
    <w:p w14:paraId="520AEEE3">
      <w:pPr>
        <w:pStyle w:val="8"/>
        <w:spacing w:line="440" w:lineRule="exact"/>
        <w:jc w:val="center"/>
        <w:rPr>
          <w:rFonts w:hint="eastAsia" w:ascii="宋体" w:hAnsi="宋体" w:eastAsia="宋体" w:cs="宋体"/>
          <w:b/>
          <w:sz w:val="32"/>
          <w:szCs w:val="32"/>
          <w:highlight w:val="none"/>
        </w:rPr>
      </w:pPr>
    </w:p>
    <w:p w14:paraId="60988D84">
      <w:pPr>
        <w:pStyle w:val="8"/>
        <w:spacing w:line="440" w:lineRule="exact"/>
        <w:jc w:val="center"/>
        <w:rPr>
          <w:rFonts w:hint="eastAsia" w:ascii="宋体" w:hAnsi="宋体" w:eastAsia="宋体" w:cs="宋体"/>
          <w:b/>
          <w:sz w:val="32"/>
          <w:szCs w:val="32"/>
          <w:highlight w:val="none"/>
        </w:rPr>
      </w:pPr>
    </w:p>
    <w:p w14:paraId="1D56BD63">
      <w:pPr>
        <w:pStyle w:val="8"/>
        <w:spacing w:line="440" w:lineRule="exact"/>
        <w:jc w:val="center"/>
        <w:rPr>
          <w:rFonts w:hint="eastAsia" w:ascii="宋体" w:hAnsi="宋体" w:eastAsia="宋体" w:cs="宋体"/>
          <w:b/>
          <w:sz w:val="32"/>
          <w:szCs w:val="32"/>
          <w:highlight w:val="none"/>
        </w:rPr>
      </w:pPr>
    </w:p>
    <w:p w14:paraId="7BB8DBB9">
      <w:pPr>
        <w:pStyle w:val="8"/>
        <w:spacing w:line="440" w:lineRule="exact"/>
        <w:jc w:val="center"/>
        <w:rPr>
          <w:rFonts w:hint="eastAsia" w:ascii="宋体" w:hAnsi="宋体" w:eastAsia="宋体" w:cs="宋体"/>
          <w:b/>
          <w:sz w:val="32"/>
          <w:szCs w:val="32"/>
          <w:highlight w:val="none"/>
        </w:rPr>
      </w:pPr>
    </w:p>
    <w:p w14:paraId="242FEB57">
      <w:pPr>
        <w:pStyle w:val="8"/>
        <w:spacing w:line="440" w:lineRule="exact"/>
        <w:jc w:val="center"/>
        <w:rPr>
          <w:rFonts w:hint="eastAsia" w:ascii="宋体" w:hAnsi="宋体" w:eastAsia="宋体" w:cs="宋体"/>
          <w:b/>
          <w:sz w:val="32"/>
          <w:szCs w:val="32"/>
          <w:highlight w:val="none"/>
        </w:rPr>
      </w:pPr>
    </w:p>
    <w:p w14:paraId="4B4F5E51">
      <w:pPr>
        <w:pStyle w:val="8"/>
        <w:spacing w:line="440" w:lineRule="exact"/>
        <w:jc w:val="center"/>
        <w:rPr>
          <w:rFonts w:hint="eastAsia" w:ascii="宋体" w:hAnsi="宋体" w:eastAsia="宋体" w:cs="宋体"/>
          <w:b/>
          <w:sz w:val="32"/>
          <w:szCs w:val="32"/>
          <w:highlight w:val="none"/>
        </w:rPr>
      </w:pPr>
    </w:p>
    <w:p w14:paraId="4C496DB6">
      <w:pPr>
        <w:pStyle w:val="8"/>
        <w:spacing w:line="440" w:lineRule="exact"/>
        <w:jc w:val="center"/>
        <w:rPr>
          <w:rFonts w:hint="eastAsia" w:ascii="宋体" w:hAnsi="宋体" w:eastAsia="宋体" w:cs="宋体"/>
          <w:b/>
          <w:sz w:val="32"/>
          <w:szCs w:val="32"/>
          <w:highlight w:val="none"/>
        </w:rPr>
      </w:pPr>
    </w:p>
    <w:p w14:paraId="049A757D">
      <w:pPr>
        <w:pStyle w:val="8"/>
        <w:spacing w:line="440" w:lineRule="exact"/>
        <w:jc w:val="center"/>
        <w:rPr>
          <w:rFonts w:hint="eastAsia" w:ascii="宋体" w:hAnsi="宋体" w:eastAsia="宋体" w:cs="宋体"/>
          <w:b/>
          <w:sz w:val="32"/>
          <w:szCs w:val="32"/>
          <w:highlight w:val="none"/>
        </w:rPr>
      </w:pPr>
    </w:p>
    <w:p w14:paraId="1D7C305A">
      <w:pPr>
        <w:pStyle w:val="8"/>
        <w:spacing w:line="440" w:lineRule="exact"/>
        <w:jc w:val="center"/>
        <w:rPr>
          <w:rFonts w:hint="eastAsia" w:ascii="宋体" w:hAnsi="宋体" w:eastAsia="宋体" w:cs="宋体"/>
          <w:b/>
          <w:sz w:val="32"/>
          <w:szCs w:val="32"/>
          <w:highlight w:val="none"/>
        </w:rPr>
      </w:pPr>
    </w:p>
    <w:p w14:paraId="2ADFD2FC">
      <w:pPr>
        <w:pStyle w:val="8"/>
        <w:spacing w:line="440" w:lineRule="exact"/>
        <w:jc w:val="center"/>
        <w:rPr>
          <w:rFonts w:hint="eastAsia" w:ascii="宋体" w:hAnsi="宋体" w:eastAsia="宋体" w:cs="宋体"/>
          <w:b/>
          <w:sz w:val="32"/>
          <w:szCs w:val="32"/>
          <w:highlight w:val="none"/>
        </w:rPr>
      </w:pPr>
    </w:p>
    <w:p w14:paraId="6E6813B8">
      <w:pPr>
        <w:pStyle w:val="8"/>
        <w:spacing w:line="440" w:lineRule="exact"/>
        <w:jc w:val="center"/>
        <w:rPr>
          <w:rFonts w:hint="eastAsia" w:ascii="宋体" w:hAnsi="宋体" w:eastAsia="宋体" w:cs="宋体"/>
          <w:b/>
          <w:sz w:val="32"/>
          <w:szCs w:val="32"/>
          <w:highlight w:val="none"/>
        </w:rPr>
      </w:pPr>
    </w:p>
    <w:p w14:paraId="0FEDF19C">
      <w:pPr>
        <w:pStyle w:val="8"/>
        <w:spacing w:line="440" w:lineRule="exact"/>
        <w:jc w:val="center"/>
        <w:rPr>
          <w:rFonts w:hint="eastAsia" w:ascii="宋体" w:hAnsi="宋体" w:eastAsia="宋体" w:cs="宋体"/>
          <w:b/>
          <w:sz w:val="32"/>
          <w:szCs w:val="32"/>
          <w:highlight w:val="none"/>
        </w:rPr>
      </w:pPr>
    </w:p>
    <w:p w14:paraId="1DB06E84">
      <w:pPr>
        <w:pStyle w:val="8"/>
        <w:spacing w:line="440" w:lineRule="exact"/>
        <w:jc w:val="center"/>
        <w:rPr>
          <w:rFonts w:hint="eastAsia" w:ascii="宋体" w:hAnsi="宋体" w:eastAsia="宋体" w:cs="宋体"/>
          <w:b/>
          <w:sz w:val="32"/>
          <w:szCs w:val="32"/>
          <w:highlight w:val="none"/>
        </w:rPr>
      </w:pPr>
    </w:p>
    <w:p w14:paraId="154B1914">
      <w:pPr>
        <w:pStyle w:val="8"/>
        <w:spacing w:line="440" w:lineRule="exact"/>
        <w:jc w:val="center"/>
        <w:rPr>
          <w:rFonts w:hint="eastAsia" w:ascii="宋体" w:hAnsi="宋体" w:eastAsia="宋体" w:cs="宋体"/>
          <w:b/>
          <w:sz w:val="32"/>
          <w:szCs w:val="32"/>
          <w:highlight w:val="none"/>
        </w:rPr>
      </w:pPr>
    </w:p>
    <w:p w14:paraId="27FA1CC8">
      <w:pPr>
        <w:pStyle w:val="8"/>
        <w:spacing w:line="440" w:lineRule="exact"/>
        <w:jc w:val="center"/>
        <w:rPr>
          <w:rFonts w:hint="eastAsia" w:ascii="宋体" w:hAnsi="宋体" w:eastAsia="宋体" w:cs="宋体"/>
          <w:b/>
          <w:sz w:val="32"/>
          <w:szCs w:val="32"/>
          <w:highlight w:val="none"/>
        </w:rPr>
      </w:pPr>
    </w:p>
    <w:p w14:paraId="7124DD5E">
      <w:pPr>
        <w:pStyle w:val="8"/>
        <w:spacing w:line="440" w:lineRule="exact"/>
        <w:jc w:val="center"/>
        <w:rPr>
          <w:rFonts w:hint="eastAsia" w:ascii="宋体" w:hAnsi="宋体" w:eastAsia="宋体" w:cs="宋体"/>
          <w:b/>
          <w:sz w:val="32"/>
          <w:szCs w:val="32"/>
          <w:highlight w:val="none"/>
        </w:rPr>
      </w:pPr>
    </w:p>
    <w:p w14:paraId="5F995117">
      <w:pPr>
        <w:pStyle w:val="8"/>
        <w:spacing w:line="440" w:lineRule="exact"/>
        <w:jc w:val="center"/>
        <w:rPr>
          <w:rFonts w:hint="eastAsia" w:ascii="宋体" w:hAnsi="宋体" w:eastAsia="宋体" w:cs="宋体"/>
          <w:b/>
          <w:sz w:val="32"/>
          <w:szCs w:val="32"/>
          <w:highlight w:val="none"/>
        </w:rPr>
      </w:pPr>
    </w:p>
    <w:p w14:paraId="577E57B9">
      <w:pPr>
        <w:pStyle w:val="8"/>
        <w:spacing w:line="440" w:lineRule="exact"/>
        <w:jc w:val="center"/>
        <w:rPr>
          <w:rFonts w:hint="eastAsia" w:ascii="宋体" w:hAnsi="宋体" w:eastAsia="宋体" w:cs="宋体"/>
          <w:b/>
          <w:sz w:val="32"/>
          <w:szCs w:val="32"/>
          <w:highlight w:val="none"/>
        </w:rPr>
      </w:pPr>
    </w:p>
    <w:p w14:paraId="6ABAC13A">
      <w:pPr>
        <w:pStyle w:val="8"/>
        <w:spacing w:line="440" w:lineRule="exact"/>
        <w:jc w:val="center"/>
        <w:rPr>
          <w:rFonts w:hint="eastAsia" w:ascii="宋体" w:hAnsi="宋体" w:eastAsia="宋体" w:cs="宋体"/>
          <w:b/>
          <w:sz w:val="32"/>
          <w:szCs w:val="32"/>
          <w:highlight w:val="none"/>
        </w:rPr>
      </w:pPr>
    </w:p>
    <w:p w14:paraId="15ACD14F">
      <w:pPr>
        <w:pStyle w:val="8"/>
        <w:spacing w:line="440" w:lineRule="exact"/>
        <w:jc w:val="center"/>
        <w:rPr>
          <w:rFonts w:hint="eastAsia" w:ascii="宋体" w:hAnsi="宋体" w:eastAsia="宋体" w:cs="宋体"/>
          <w:b/>
          <w:sz w:val="32"/>
          <w:szCs w:val="32"/>
          <w:highlight w:val="none"/>
        </w:rPr>
      </w:pPr>
    </w:p>
    <w:p w14:paraId="3CAF4480">
      <w:pPr>
        <w:pStyle w:val="8"/>
        <w:spacing w:line="440" w:lineRule="exact"/>
        <w:jc w:val="both"/>
        <w:rPr>
          <w:rFonts w:hint="eastAsia" w:ascii="宋体" w:hAnsi="宋体" w:eastAsia="宋体" w:cs="宋体"/>
          <w:b/>
          <w:sz w:val="32"/>
          <w:szCs w:val="32"/>
          <w:highlight w:val="none"/>
        </w:rPr>
      </w:pPr>
    </w:p>
    <w:p w14:paraId="0A897ED1">
      <w:pPr>
        <w:pStyle w:val="8"/>
        <w:spacing w:line="440" w:lineRule="exact"/>
        <w:jc w:val="center"/>
        <w:rPr>
          <w:rFonts w:hint="eastAsia" w:ascii="宋体" w:hAnsi="宋体" w:eastAsia="宋体" w:cs="宋体"/>
          <w:b/>
          <w:sz w:val="32"/>
          <w:szCs w:val="32"/>
          <w:highlight w:val="none"/>
        </w:rPr>
      </w:pPr>
    </w:p>
    <w:p w14:paraId="488CF027">
      <w:pPr>
        <w:pStyle w:val="8"/>
        <w:spacing w:line="440" w:lineRule="exact"/>
        <w:jc w:val="center"/>
        <w:rPr>
          <w:rFonts w:hint="eastAsia" w:ascii="宋体" w:hAnsi="宋体" w:eastAsia="宋体" w:cs="宋体"/>
          <w:b/>
          <w:sz w:val="32"/>
          <w:szCs w:val="32"/>
          <w:highlight w:val="none"/>
        </w:rPr>
      </w:pPr>
    </w:p>
    <w:p w14:paraId="30C27471">
      <w:pPr>
        <w:pStyle w:val="8"/>
        <w:spacing w:line="440" w:lineRule="exact"/>
        <w:jc w:val="center"/>
        <w:rPr>
          <w:rFonts w:hint="eastAsia" w:ascii="宋体" w:hAnsi="宋体" w:eastAsia="宋体" w:cs="宋体"/>
          <w:b/>
          <w:sz w:val="32"/>
          <w:szCs w:val="32"/>
          <w:highlight w:val="none"/>
        </w:rPr>
      </w:pPr>
    </w:p>
    <w:p w14:paraId="279961F8">
      <w:pPr>
        <w:pStyle w:val="8"/>
        <w:spacing w:line="440" w:lineRule="exact"/>
        <w:jc w:val="center"/>
        <w:rPr>
          <w:rFonts w:hint="eastAsia" w:ascii="宋体" w:hAnsi="宋体" w:eastAsia="宋体" w:cs="宋体"/>
          <w:b/>
          <w:sz w:val="32"/>
          <w:szCs w:val="32"/>
          <w:highlight w:val="none"/>
        </w:rPr>
      </w:pPr>
    </w:p>
    <w:p w14:paraId="17746249">
      <w:pPr>
        <w:pStyle w:val="8"/>
        <w:spacing w:line="4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15A966F2">
      <w:pPr>
        <w:pStyle w:val="8"/>
        <w:spacing w:line="4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第六章  响  应  文  件</w:t>
      </w:r>
    </w:p>
    <w:p w14:paraId="7A262405">
      <w:pPr>
        <w:pStyle w:val="8"/>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14:paraId="7FEF1476">
      <w:pPr>
        <w:pStyle w:val="8"/>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14:paraId="6CAFABEB">
      <w:pPr>
        <w:pStyle w:val="8"/>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14:paraId="7FDCB6E0">
      <w:pPr>
        <w:pStyle w:val="8"/>
        <w:spacing w:line="44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43B01129">
      <w:pPr>
        <w:pStyle w:val="8"/>
        <w:spacing w:line="440" w:lineRule="exact"/>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035D2662">
      <w:pPr>
        <w:pStyle w:val="8"/>
        <w:spacing w:line="440" w:lineRule="exact"/>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37ABD1B0">
      <w:pPr>
        <w:pStyle w:val="8"/>
        <w:spacing w:line="440" w:lineRule="exact"/>
        <w:ind w:firstLine="643"/>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u w:val="single"/>
        </w:rPr>
        <w:t xml:space="preserve">                   </w:t>
      </w:r>
    </w:p>
    <w:p w14:paraId="7FAB068D">
      <w:pPr>
        <w:pStyle w:val="8"/>
        <w:spacing w:line="440" w:lineRule="exact"/>
        <w:ind w:firstLine="643"/>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55D8E37C">
      <w:pPr>
        <w:pStyle w:val="8"/>
        <w:spacing w:line="440" w:lineRule="exact"/>
        <w:ind w:firstLine="643"/>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采购编号：</w:t>
      </w:r>
      <w:r>
        <w:rPr>
          <w:rFonts w:hint="eastAsia" w:ascii="宋体" w:hAnsi="宋体" w:eastAsia="宋体" w:cs="宋体"/>
          <w:b/>
          <w:sz w:val="32"/>
          <w:szCs w:val="32"/>
          <w:highlight w:val="none"/>
          <w:u w:val="single"/>
        </w:rPr>
        <w:t xml:space="preserve">                      </w:t>
      </w:r>
    </w:p>
    <w:p w14:paraId="6368BEBD">
      <w:pPr>
        <w:pStyle w:val="8"/>
        <w:spacing w:line="440" w:lineRule="exact"/>
        <w:ind w:firstLine="643"/>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4FB129E5">
      <w:pPr>
        <w:pStyle w:val="8"/>
        <w:spacing w:line="440" w:lineRule="exact"/>
        <w:ind w:firstLine="643"/>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供应商名称：</w:t>
      </w:r>
      <w:r>
        <w:rPr>
          <w:rFonts w:hint="eastAsia" w:ascii="宋体" w:hAnsi="宋体" w:eastAsia="宋体" w:cs="宋体"/>
          <w:b/>
          <w:sz w:val="32"/>
          <w:szCs w:val="32"/>
          <w:highlight w:val="none"/>
          <w:u w:val="single"/>
        </w:rPr>
        <w:t xml:space="preserve">加盖CA电子公章     </w:t>
      </w:r>
    </w:p>
    <w:p w14:paraId="09C02DA9">
      <w:pPr>
        <w:pStyle w:val="8"/>
        <w:spacing w:line="440" w:lineRule="exact"/>
        <w:ind w:firstLine="643"/>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7B6B26FB">
      <w:pPr>
        <w:pStyle w:val="8"/>
        <w:spacing w:line="440" w:lineRule="exact"/>
        <w:ind w:firstLine="643"/>
        <w:rPr>
          <w:rFonts w:hint="eastAsia" w:ascii="宋体" w:hAnsi="宋体" w:eastAsia="宋体" w:cs="宋体"/>
          <w:highlight w:val="none"/>
        </w:rPr>
      </w:pPr>
      <w:r>
        <w:rPr>
          <w:rFonts w:hint="eastAsia" w:ascii="宋体" w:hAnsi="宋体" w:eastAsia="宋体" w:cs="宋体"/>
          <w:b/>
          <w:sz w:val="32"/>
          <w:szCs w:val="32"/>
          <w:highlight w:val="none"/>
        </w:rPr>
        <w:t>日      期：</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rPr>
        <w:t xml:space="preserve">     </w:t>
      </w:r>
    </w:p>
    <w:p w14:paraId="14EDA61E">
      <w:pPr>
        <w:ind w:firstLine="72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 </w:t>
      </w:r>
    </w:p>
    <w:p w14:paraId="5C028B56">
      <w:pPr>
        <w:ind w:firstLine="72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 </w:t>
      </w:r>
    </w:p>
    <w:p w14:paraId="0C2A7927">
      <w:pPr>
        <w:ind w:firstLine="723"/>
        <w:jc w:val="center"/>
        <w:rPr>
          <w:rFonts w:hint="eastAsia" w:ascii="宋体" w:hAnsi="宋体" w:eastAsia="宋体" w:cs="宋体"/>
          <w:b/>
          <w:bCs/>
          <w:sz w:val="36"/>
          <w:szCs w:val="36"/>
          <w:highlight w:val="none"/>
        </w:rPr>
      </w:pPr>
    </w:p>
    <w:p w14:paraId="49F55459">
      <w:pPr>
        <w:ind w:firstLine="723"/>
        <w:jc w:val="center"/>
        <w:rPr>
          <w:rFonts w:hint="eastAsia" w:ascii="宋体" w:hAnsi="宋体" w:eastAsia="宋体" w:cs="宋体"/>
          <w:b/>
          <w:bCs/>
          <w:sz w:val="36"/>
          <w:szCs w:val="36"/>
          <w:highlight w:val="none"/>
        </w:rPr>
      </w:pPr>
    </w:p>
    <w:p w14:paraId="4FB43618">
      <w:pPr>
        <w:ind w:firstLine="723"/>
        <w:jc w:val="center"/>
        <w:rPr>
          <w:rFonts w:hint="eastAsia" w:ascii="宋体" w:hAnsi="宋体" w:eastAsia="宋体" w:cs="宋体"/>
          <w:b/>
          <w:bCs/>
          <w:sz w:val="36"/>
          <w:szCs w:val="36"/>
          <w:highlight w:val="none"/>
        </w:rPr>
      </w:pPr>
    </w:p>
    <w:p w14:paraId="6DC653F2">
      <w:pPr>
        <w:ind w:firstLine="723"/>
        <w:jc w:val="center"/>
        <w:rPr>
          <w:rFonts w:hint="eastAsia" w:ascii="宋体" w:hAnsi="宋体" w:eastAsia="宋体" w:cs="宋体"/>
          <w:b/>
          <w:bCs/>
          <w:sz w:val="36"/>
          <w:szCs w:val="36"/>
          <w:highlight w:val="none"/>
        </w:rPr>
      </w:pPr>
    </w:p>
    <w:p w14:paraId="579A5115">
      <w:pPr>
        <w:jc w:val="both"/>
        <w:rPr>
          <w:rFonts w:hint="eastAsia" w:ascii="宋体" w:hAnsi="宋体" w:eastAsia="宋体" w:cs="宋体"/>
          <w:b/>
          <w:bCs/>
          <w:sz w:val="36"/>
          <w:szCs w:val="36"/>
          <w:highlight w:val="none"/>
        </w:rPr>
      </w:pPr>
    </w:p>
    <w:p w14:paraId="41327230">
      <w:pPr>
        <w:pStyle w:val="2"/>
        <w:keepLines w:val="0"/>
        <w:widowControl/>
        <w:jc w:val="center"/>
        <w:rPr>
          <w:rFonts w:hint="eastAsia" w:ascii="宋体" w:hAnsi="宋体" w:eastAsia="宋体" w:cs="宋体"/>
          <w:b/>
          <w:kern w:val="36"/>
          <w:sz w:val="30"/>
          <w:szCs w:val="30"/>
          <w:highlight w:val="none"/>
        </w:rPr>
      </w:pPr>
      <w:r>
        <w:rPr>
          <w:rFonts w:hint="eastAsia" w:ascii="宋体" w:hAnsi="宋体" w:eastAsia="宋体" w:cs="宋体"/>
          <w:b/>
          <w:kern w:val="36"/>
          <w:sz w:val="30"/>
          <w:szCs w:val="30"/>
          <w:highlight w:val="none"/>
        </w:rPr>
        <w:t>一、磋商函</w:t>
      </w:r>
    </w:p>
    <w:p w14:paraId="586AD123">
      <w:pPr>
        <w:pStyle w:val="23"/>
        <w:spacing w:before="0" w:after="0" w:line="400" w:lineRule="exact"/>
        <w:ind w:left="0" w:leftChars="0" w:firstLine="0" w:firstLineChars="0"/>
        <w:jc w:val="both"/>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（采购人）</w:t>
      </w:r>
    </w:p>
    <w:p w14:paraId="0D026683">
      <w:pPr>
        <w:pStyle w:val="23"/>
        <w:spacing w:before="0" w:after="0" w:line="400" w:lineRule="exact"/>
        <w:ind w:firstLine="700"/>
        <w:rPr>
          <w:rFonts w:hint="eastAsia" w:ascii="宋体" w:hAnsi="宋体" w:eastAsia="宋体" w:cs="宋体"/>
          <w:highlight w:val="none"/>
        </w:rPr>
      </w:pPr>
      <w:r>
        <w:rPr>
          <w:rFonts w:hint="eastAsia" w:ascii="宋体" w:hAnsi="宋体" w:eastAsia="宋体" w:cs="宋体"/>
          <w:highlight w:val="none"/>
        </w:rPr>
        <w:t xml:space="preserve">关于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采购项目（项目编号：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）磋商文件（包括更正公告、如果有的话）收悉，我们经详细审阅和研究，现决定参加投标。同时，正式授权下述签字人</w:t>
      </w:r>
      <w:r>
        <w:rPr>
          <w:rFonts w:hint="eastAsia" w:ascii="宋体" w:hAnsi="宋体" w:eastAsia="宋体" w:cs="宋体"/>
          <w:highlight w:val="none"/>
          <w:u w:val="single"/>
        </w:rPr>
        <w:t xml:space="preserve">      </w:t>
      </w:r>
      <w:r>
        <w:rPr>
          <w:rFonts w:hint="eastAsia" w:ascii="宋体" w:hAnsi="宋体" w:eastAsia="宋体" w:cs="宋体"/>
          <w:highlight w:val="none"/>
        </w:rPr>
        <w:t>（姓名和职务）代表</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eastAsia="zh-CN"/>
        </w:rPr>
        <w:t>供应商</w:t>
      </w:r>
      <w:r>
        <w:rPr>
          <w:rFonts w:hint="eastAsia" w:ascii="宋体" w:hAnsi="宋体" w:eastAsia="宋体" w:cs="宋体"/>
          <w:highlight w:val="none"/>
        </w:rPr>
        <w:t>单位名称），全权处理本次项目投标的有关事宜。</w:t>
      </w:r>
    </w:p>
    <w:p w14:paraId="57C3F684">
      <w:pPr>
        <w:ind w:right="-210" w:firstLine="48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1、按磋商文件规定的各项要求，我方愿以投标报价为（大写、人民币）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（CNY￥</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元）的投标总报价并按招标文件的规定要求提供所需服务。</w:t>
      </w:r>
    </w:p>
    <w:p w14:paraId="6B03FB6D">
      <w:pPr>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2、我们接受磋商文件的所有的条款和规定。</w:t>
      </w:r>
    </w:p>
    <w:p w14:paraId="24F271E8">
      <w:pPr>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3、我们同意按照招标文件第一章“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第15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保证金可被贵方没收。</w:t>
      </w:r>
    </w:p>
    <w:p w14:paraId="5B17E52B">
      <w:pPr>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4、我们理解，你们无义务必须接受投标价最低的投标。同时也理解你们不承担我们本次投标的费用。</w:t>
      </w:r>
    </w:p>
    <w:p w14:paraId="6DB5A052">
      <w:pPr>
        <w:spacing w:line="5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5、我们同意向贵方提供贵方可能要求的与投标有关的任何证据或资料，并保证所提供的都是真实的、准确的。</w:t>
      </w:r>
    </w:p>
    <w:p w14:paraId="12041F8C">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6、一旦我方中标，我方将根据招标文件的规定，严格履行合同的责任和义务。</w:t>
      </w:r>
    </w:p>
    <w:p w14:paraId="021DA788">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名称（电子公章）：</w:t>
      </w:r>
    </w:p>
    <w:p w14:paraId="5E4C632F">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地址：      邮编：</w:t>
      </w:r>
    </w:p>
    <w:p w14:paraId="12B88BFA">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      传真：</w:t>
      </w:r>
    </w:p>
    <w:p w14:paraId="2B40DBFC">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法定代表人（委托受托人）电子签字：</w:t>
      </w:r>
    </w:p>
    <w:p w14:paraId="393BD1E0">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p w14:paraId="74C1AD9C">
      <w:pPr>
        <w:pStyle w:val="8"/>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4010A6D">
      <w:pPr>
        <w:pStyle w:val="23"/>
        <w:spacing w:before="0" w:after="0" w:line="400" w:lineRule="exact"/>
        <w:ind w:firstLine="700"/>
        <w:rPr>
          <w:rFonts w:hint="eastAsia" w:ascii="宋体" w:hAnsi="宋体" w:eastAsia="宋体" w:cs="宋体"/>
          <w:highlight w:val="none"/>
        </w:rPr>
      </w:pPr>
      <w:r>
        <w:rPr>
          <w:rFonts w:hint="eastAsia" w:ascii="宋体" w:hAnsi="宋体" w:eastAsia="宋体" w:cs="宋体"/>
          <w:highlight w:val="none"/>
        </w:rPr>
        <w:t xml:space="preserve"> </w:t>
      </w:r>
    </w:p>
    <w:p w14:paraId="75A34CEE">
      <w:pPr>
        <w:pStyle w:val="23"/>
        <w:spacing w:before="0" w:after="0" w:line="400" w:lineRule="exact"/>
        <w:ind w:firstLine="700"/>
        <w:rPr>
          <w:rFonts w:hint="eastAsia" w:ascii="宋体" w:hAnsi="宋体" w:eastAsia="宋体" w:cs="宋体"/>
          <w:highlight w:val="none"/>
        </w:rPr>
      </w:pPr>
    </w:p>
    <w:p w14:paraId="10134675">
      <w:pPr>
        <w:pStyle w:val="23"/>
        <w:spacing w:before="0" w:after="0" w:line="400" w:lineRule="exact"/>
        <w:ind w:firstLine="700"/>
        <w:rPr>
          <w:rFonts w:hint="eastAsia" w:ascii="宋体" w:hAnsi="宋体" w:eastAsia="宋体" w:cs="宋体"/>
          <w:highlight w:val="none"/>
        </w:rPr>
      </w:pPr>
    </w:p>
    <w:p w14:paraId="27F8B605">
      <w:pPr>
        <w:pStyle w:val="23"/>
        <w:spacing w:before="0" w:after="0" w:line="400" w:lineRule="exact"/>
        <w:ind w:firstLine="700"/>
        <w:rPr>
          <w:rFonts w:hint="eastAsia" w:ascii="宋体" w:hAnsi="宋体" w:eastAsia="宋体" w:cs="宋体"/>
          <w:highlight w:val="none"/>
        </w:rPr>
      </w:pPr>
    </w:p>
    <w:p w14:paraId="107D0FB7">
      <w:pPr>
        <w:pStyle w:val="23"/>
        <w:spacing w:before="0" w:after="0" w:line="400" w:lineRule="exact"/>
        <w:ind w:firstLine="700"/>
        <w:rPr>
          <w:rFonts w:hint="eastAsia" w:ascii="宋体" w:hAnsi="宋体" w:eastAsia="宋体" w:cs="宋体"/>
          <w:highlight w:val="none"/>
        </w:rPr>
      </w:pPr>
    </w:p>
    <w:p w14:paraId="707CCDA0">
      <w:pPr>
        <w:pStyle w:val="23"/>
        <w:spacing w:before="0" w:after="0" w:line="400" w:lineRule="exact"/>
        <w:ind w:firstLine="700"/>
        <w:rPr>
          <w:rFonts w:hint="eastAsia" w:ascii="宋体" w:hAnsi="宋体" w:eastAsia="宋体" w:cs="宋体"/>
          <w:highlight w:val="none"/>
        </w:rPr>
      </w:pPr>
    </w:p>
    <w:p w14:paraId="306090AF">
      <w:pPr>
        <w:pStyle w:val="23"/>
        <w:spacing w:before="0" w:after="0" w:line="400" w:lineRule="exact"/>
        <w:ind w:firstLine="700"/>
        <w:rPr>
          <w:rFonts w:hint="eastAsia" w:ascii="宋体" w:hAnsi="宋体" w:eastAsia="宋体" w:cs="宋体"/>
          <w:highlight w:val="none"/>
        </w:rPr>
      </w:pPr>
    </w:p>
    <w:p w14:paraId="112BC4F5">
      <w:pPr>
        <w:rPr>
          <w:rFonts w:hint="eastAsia" w:ascii="宋体" w:hAnsi="宋体" w:eastAsia="宋体" w:cs="宋体"/>
          <w:highlight w:val="none"/>
        </w:rPr>
      </w:pPr>
    </w:p>
    <w:p w14:paraId="0BE3B2AA">
      <w:pPr>
        <w:pStyle w:val="2"/>
        <w:keepLines w:val="0"/>
        <w:widowControl/>
        <w:jc w:val="center"/>
        <w:rPr>
          <w:rFonts w:hint="eastAsia" w:ascii="宋体" w:hAnsi="宋体" w:eastAsia="宋体" w:cs="宋体"/>
          <w:b/>
          <w:kern w:val="36"/>
          <w:sz w:val="30"/>
          <w:szCs w:val="30"/>
          <w:highlight w:val="none"/>
        </w:rPr>
      </w:pPr>
      <w:r>
        <w:rPr>
          <w:rFonts w:hint="eastAsia" w:ascii="宋体" w:hAnsi="宋体" w:eastAsia="宋体" w:cs="宋体"/>
          <w:b/>
          <w:kern w:val="36"/>
          <w:sz w:val="30"/>
          <w:szCs w:val="30"/>
          <w:highlight w:val="none"/>
        </w:rPr>
        <w:t>二、报价一览表</w:t>
      </w:r>
    </w:p>
    <w:p w14:paraId="046DE7EE">
      <w:pPr>
        <w:pStyle w:val="11"/>
        <w:widowControl/>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全称（CA公章）：</w:t>
      </w:r>
      <w:r>
        <w:rPr>
          <w:rFonts w:hint="eastAsia" w:ascii="宋体" w:hAnsi="宋体" w:eastAsia="宋体" w:cs="宋体"/>
          <w:highlight w:val="none"/>
          <w:u w:val="single"/>
          <w:shd w:val="clear" w:color="auto" w:fill="FFFFFF"/>
        </w:rPr>
        <w:t>供应商名称</w:t>
      </w:r>
      <w:r>
        <w:rPr>
          <w:rFonts w:hint="eastAsia" w:ascii="宋体" w:hAnsi="宋体" w:eastAsia="宋体" w:cs="宋体"/>
          <w:highlight w:val="none"/>
        </w:rPr>
        <w:t xml:space="preserve"> </w:t>
      </w:r>
    </w:p>
    <w:p w14:paraId="0D6576AD">
      <w:pPr>
        <w:pStyle w:val="11"/>
        <w:widowControl/>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shd w:val="clear" w:color="auto" w:fill="FFFFFF"/>
        </w:rPr>
        <w:t>项目名称</w:t>
      </w:r>
      <w:r>
        <w:rPr>
          <w:rFonts w:hint="eastAsia" w:ascii="宋体" w:hAnsi="宋体" w:eastAsia="宋体" w:cs="宋体"/>
          <w:highlight w:val="none"/>
          <w:u w:val="single"/>
        </w:rPr>
        <w:t xml:space="preserve"> </w:t>
      </w:r>
    </w:p>
    <w:p w14:paraId="4FFD6ED0">
      <w:pPr>
        <w:pStyle w:val="11"/>
        <w:widowControl/>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shd w:val="clear" w:color="auto" w:fill="FFFFFF"/>
        </w:rPr>
        <w:t>项目编号</w:t>
      </w:r>
      <w:r>
        <w:rPr>
          <w:rFonts w:hint="eastAsia" w:ascii="宋体" w:hAnsi="宋体" w:eastAsia="宋体" w:cs="宋体"/>
          <w:highlight w:val="none"/>
        </w:rPr>
        <w:t xml:space="preserve"> </w:t>
      </w:r>
    </w:p>
    <w:tbl>
      <w:tblPr>
        <w:tblStyle w:val="13"/>
        <w:tblW w:w="8390" w:type="dxa"/>
        <w:tblCellSpacing w:w="15" w:type="dxa"/>
        <w:tblInd w:w="4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2315"/>
        <w:gridCol w:w="6075"/>
      </w:tblGrid>
      <w:tr w14:paraId="704FE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48" w:hRule="atLeast"/>
          <w:tblCellSpacing w:w="15" w:type="dxa"/>
        </w:trPr>
        <w:tc>
          <w:tcPr>
            <w:tcW w:w="2270" w:type="dxa"/>
            <w:tcBorders>
              <w:top w:val="single" w:color="auto" w:sz="6" w:space="0"/>
              <w:left w:val="single" w:color="auto" w:sz="6" w:space="0"/>
              <w:bottom w:val="single" w:color="auto" w:sz="6" w:space="0"/>
              <w:right w:val="single" w:color="auto" w:sz="6" w:space="0"/>
            </w:tcBorders>
            <w:noWrap w:val="0"/>
            <w:vAlign w:val="center"/>
          </w:tcPr>
          <w:p w14:paraId="34931BDB">
            <w:pPr>
              <w:pStyle w:val="11"/>
              <w:widowControl/>
              <w:jc w:val="center"/>
              <w:rPr>
                <w:rFonts w:hint="eastAsia" w:ascii="宋体" w:hAnsi="宋体" w:eastAsia="宋体" w:cs="宋体"/>
                <w:highlight w:val="none"/>
              </w:rPr>
            </w:pPr>
            <w:r>
              <w:rPr>
                <w:rFonts w:hint="eastAsia" w:ascii="宋体" w:hAnsi="宋体" w:eastAsia="宋体" w:cs="宋体"/>
                <w:highlight w:val="none"/>
              </w:rPr>
              <w:t>投标服务名称</w:t>
            </w:r>
          </w:p>
        </w:tc>
        <w:tc>
          <w:tcPr>
            <w:tcW w:w="6030" w:type="dxa"/>
            <w:tcBorders>
              <w:top w:val="single" w:color="auto" w:sz="6" w:space="0"/>
              <w:left w:val="single" w:color="auto" w:sz="6" w:space="0"/>
              <w:bottom w:val="single" w:color="auto" w:sz="6" w:space="0"/>
              <w:right w:val="single" w:color="auto" w:sz="6" w:space="0"/>
            </w:tcBorders>
            <w:noWrap w:val="0"/>
            <w:vAlign w:val="center"/>
          </w:tcPr>
          <w:p w14:paraId="5863837B">
            <w:pPr>
              <w:pStyle w:val="11"/>
              <w:widowControl/>
              <w:jc w:val="center"/>
              <w:rPr>
                <w:rFonts w:hint="eastAsia" w:ascii="宋体" w:hAnsi="宋体" w:eastAsia="宋体" w:cs="宋体"/>
                <w:highlight w:val="none"/>
              </w:rPr>
            </w:pPr>
            <w:r>
              <w:rPr>
                <w:rFonts w:hint="eastAsia" w:ascii="宋体" w:hAnsi="宋体" w:cs="宋体"/>
                <w:highlight w:val="none"/>
                <w:lang w:eastAsia="zh-CN"/>
              </w:rPr>
              <w:t>投标</w:t>
            </w:r>
            <w:r>
              <w:rPr>
                <w:rFonts w:hint="eastAsia" w:ascii="宋体" w:hAnsi="宋体" w:eastAsia="宋体" w:cs="宋体"/>
                <w:highlight w:val="none"/>
              </w:rPr>
              <w:t>报价</w:t>
            </w:r>
          </w:p>
        </w:tc>
      </w:tr>
      <w:tr w14:paraId="1BC26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60" w:hRule="atLeast"/>
          <w:tblCellSpacing w:w="15" w:type="dxa"/>
        </w:trPr>
        <w:tc>
          <w:tcPr>
            <w:tcW w:w="2270" w:type="dxa"/>
            <w:tcBorders>
              <w:top w:val="single" w:color="auto" w:sz="6" w:space="0"/>
              <w:left w:val="single" w:color="auto" w:sz="6" w:space="0"/>
              <w:bottom w:val="single" w:color="auto" w:sz="6" w:space="0"/>
              <w:right w:val="single" w:color="auto" w:sz="6" w:space="0"/>
            </w:tcBorders>
            <w:noWrap w:val="0"/>
            <w:vAlign w:val="center"/>
          </w:tcPr>
          <w:p w14:paraId="2A08108E">
            <w:pPr>
              <w:pStyle w:val="11"/>
              <w:widowControl/>
              <w:jc w:val="center"/>
              <w:rPr>
                <w:rFonts w:hint="eastAsia" w:ascii="宋体" w:hAnsi="宋体" w:eastAsia="宋体" w:cs="宋体"/>
                <w:highlight w:val="none"/>
              </w:rPr>
            </w:pPr>
            <w:r>
              <w:rPr>
                <w:rFonts w:hint="eastAsia" w:ascii="宋体" w:hAnsi="宋体" w:eastAsia="宋体" w:cs="宋体"/>
                <w:highlight w:val="none"/>
                <w:shd w:val="clear" w:color="auto" w:fill="FFFFFF"/>
                <w:lang w:eastAsia="zh-CN"/>
              </w:rPr>
              <w:t>项目</w:t>
            </w:r>
            <w:r>
              <w:rPr>
                <w:rFonts w:hint="eastAsia" w:ascii="宋体" w:hAnsi="宋体" w:eastAsia="宋体" w:cs="宋体"/>
                <w:highlight w:val="none"/>
                <w:shd w:val="clear" w:color="auto" w:fill="FFFFFF"/>
              </w:rPr>
              <w:t>名称</w:t>
            </w:r>
          </w:p>
        </w:tc>
        <w:tc>
          <w:tcPr>
            <w:tcW w:w="6030" w:type="dxa"/>
            <w:tcBorders>
              <w:top w:val="single" w:color="auto" w:sz="6" w:space="0"/>
              <w:left w:val="single" w:color="auto" w:sz="6" w:space="0"/>
              <w:bottom w:val="single" w:color="auto" w:sz="6" w:space="0"/>
              <w:right w:val="single" w:color="auto" w:sz="6" w:space="0"/>
            </w:tcBorders>
            <w:noWrap w:val="0"/>
            <w:vAlign w:val="center"/>
          </w:tcPr>
          <w:p w14:paraId="2AA8A346">
            <w:pPr>
              <w:pStyle w:val="11"/>
              <w:widowControl/>
              <w:rPr>
                <w:rFonts w:hint="default" w:ascii="宋体" w:hAnsi="宋体" w:eastAsia="宋体" w:cs="宋体"/>
                <w:highlight w:val="none"/>
                <w:u w:val="single"/>
                <w:lang w:val="en-US" w:eastAsia="zh-CN"/>
              </w:rPr>
            </w:pPr>
            <w:r>
              <w:rPr>
                <w:rFonts w:hint="eastAsia" w:ascii="宋体" w:hAnsi="宋体" w:eastAsia="宋体" w:cs="宋体"/>
                <w:highlight w:val="none"/>
              </w:rPr>
              <w:t> </w:t>
            </w:r>
            <w:r>
              <w:rPr>
                <w:rFonts w:hint="eastAsia" w:ascii="宋体" w:hAnsi="宋体" w:cs="宋体"/>
                <w:highlight w:val="none"/>
                <w:lang w:eastAsia="zh-CN"/>
              </w:rPr>
              <w:t>大写：</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元；小写：</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元</w:t>
            </w:r>
            <w:r>
              <w:rPr>
                <w:rFonts w:hint="eastAsia" w:ascii="宋体" w:hAnsi="宋体" w:cs="宋体"/>
                <w:highlight w:val="none"/>
                <w:lang w:val="en-US" w:eastAsia="zh-CN"/>
              </w:rPr>
              <w:t xml:space="preserve"> </w:t>
            </w:r>
          </w:p>
        </w:tc>
      </w:tr>
    </w:tbl>
    <w:p w14:paraId="4D1BDAB2">
      <w:pPr>
        <w:pStyle w:val="11"/>
        <w:widowControl/>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2489AA92">
      <w:pPr>
        <w:pStyle w:val="8"/>
        <w:spacing w:line="440" w:lineRule="exact"/>
        <w:ind w:firstLine="2062" w:firstLineChars="642"/>
        <w:outlineLvl w:val="1"/>
        <w:rPr>
          <w:rFonts w:hint="eastAsia" w:ascii="宋体" w:hAnsi="宋体" w:eastAsia="宋体" w:cs="宋体"/>
          <w:b/>
          <w:bCs/>
          <w:sz w:val="32"/>
          <w:szCs w:val="32"/>
          <w:highlight w:val="none"/>
        </w:rPr>
      </w:pPr>
    </w:p>
    <w:p w14:paraId="0DB8602B">
      <w:pPr>
        <w:pStyle w:val="8"/>
        <w:spacing w:line="440" w:lineRule="exact"/>
        <w:ind w:firstLine="1540" w:firstLineChars="642"/>
        <w:outlineLvl w:val="1"/>
        <w:rPr>
          <w:rFonts w:hint="eastAsia" w:ascii="宋体" w:hAnsi="宋体" w:eastAsia="宋体" w:cs="宋体"/>
          <w:sz w:val="24"/>
          <w:szCs w:val="24"/>
          <w:highlight w:val="none"/>
          <w:lang w:val="en-US" w:eastAsia="zh-CN" w:bidi="ar-SA"/>
        </w:rPr>
      </w:pPr>
    </w:p>
    <w:p w14:paraId="543E3241">
      <w:pPr>
        <w:pStyle w:val="8"/>
        <w:spacing w:line="440" w:lineRule="exact"/>
        <w:outlineLvl w:val="1"/>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注:1、投标报价总计为招标文件中投标人须知所述内容。</w:t>
      </w:r>
    </w:p>
    <w:p w14:paraId="11877224">
      <w:pPr>
        <w:pStyle w:val="8"/>
        <w:spacing w:line="440" w:lineRule="exact"/>
        <w:ind w:firstLine="241" w:firstLineChars="100"/>
        <w:outlineLvl w:val="1"/>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2、开标一览表格式不得自行改动。</w:t>
      </w:r>
    </w:p>
    <w:p w14:paraId="15F6790A">
      <w:pPr>
        <w:pStyle w:val="8"/>
        <w:spacing w:line="440" w:lineRule="exact"/>
        <w:ind w:firstLine="1540" w:firstLineChars="642"/>
        <w:outlineLvl w:val="1"/>
        <w:rPr>
          <w:rFonts w:hint="eastAsia" w:ascii="宋体" w:hAnsi="宋体" w:eastAsia="宋体" w:cs="宋体"/>
          <w:sz w:val="24"/>
          <w:szCs w:val="24"/>
          <w:highlight w:val="none"/>
          <w:lang w:val="en-US" w:eastAsia="zh-CN" w:bidi="ar-SA"/>
        </w:rPr>
      </w:pPr>
    </w:p>
    <w:p w14:paraId="58E214ED">
      <w:pPr>
        <w:pStyle w:val="8"/>
        <w:spacing w:line="440" w:lineRule="exact"/>
        <w:ind w:firstLine="2062" w:firstLineChars="642"/>
        <w:outlineLvl w:val="1"/>
        <w:rPr>
          <w:rFonts w:hint="eastAsia" w:ascii="宋体" w:hAnsi="宋体" w:eastAsia="宋体" w:cs="宋体"/>
          <w:b/>
          <w:bCs/>
          <w:sz w:val="32"/>
          <w:szCs w:val="32"/>
          <w:highlight w:val="none"/>
        </w:rPr>
      </w:pPr>
    </w:p>
    <w:p w14:paraId="7DAC929D">
      <w:pPr>
        <w:pStyle w:val="8"/>
        <w:spacing w:line="440" w:lineRule="exact"/>
        <w:ind w:firstLine="2062" w:firstLineChars="642"/>
        <w:outlineLvl w:val="1"/>
        <w:rPr>
          <w:rFonts w:hint="eastAsia" w:ascii="宋体" w:hAnsi="宋体" w:eastAsia="宋体" w:cs="宋体"/>
          <w:b/>
          <w:bCs/>
          <w:sz w:val="32"/>
          <w:szCs w:val="32"/>
          <w:highlight w:val="none"/>
        </w:rPr>
      </w:pPr>
    </w:p>
    <w:p w14:paraId="6C4488A5">
      <w:pPr>
        <w:pStyle w:val="8"/>
        <w:spacing w:line="440" w:lineRule="exact"/>
        <w:ind w:firstLine="2062" w:firstLineChars="642"/>
        <w:outlineLvl w:val="1"/>
        <w:rPr>
          <w:rFonts w:hint="eastAsia" w:ascii="宋体" w:hAnsi="宋体" w:eastAsia="宋体" w:cs="宋体"/>
          <w:b/>
          <w:bCs/>
          <w:sz w:val="32"/>
          <w:szCs w:val="32"/>
          <w:highlight w:val="none"/>
        </w:rPr>
      </w:pPr>
    </w:p>
    <w:p w14:paraId="5E8BBDFE">
      <w:pPr>
        <w:pStyle w:val="8"/>
        <w:spacing w:line="440" w:lineRule="exact"/>
        <w:ind w:firstLine="2062" w:firstLineChars="642"/>
        <w:outlineLvl w:val="1"/>
        <w:rPr>
          <w:rFonts w:hint="eastAsia" w:ascii="宋体" w:hAnsi="宋体" w:eastAsia="宋体" w:cs="宋体"/>
          <w:b/>
          <w:bCs/>
          <w:sz w:val="32"/>
          <w:szCs w:val="32"/>
          <w:highlight w:val="none"/>
        </w:rPr>
      </w:pPr>
    </w:p>
    <w:p w14:paraId="6634FD20">
      <w:pPr>
        <w:pStyle w:val="8"/>
        <w:spacing w:line="440" w:lineRule="exact"/>
        <w:ind w:firstLine="2062" w:firstLineChars="642"/>
        <w:outlineLvl w:val="1"/>
        <w:rPr>
          <w:rFonts w:hint="eastAsia" w:ascii="宋体" w:hAnsi="宋体" w:eastAsia="宋体" w:cs="宋体"/>
          <w:b/>
          <w:bCs/>
          <w:sz w:val="32"/>
          <w:szCs w:val="32"/>
          <w:highlight w:val="none"/>
        </w:rPr>
      </w:pPr>
    </w:p>
    <w:p w14:paraId="500EEA83">
      <w:pPr>
        <w:pStyle w:val="8"/>
        <w:spacing w:line="440" w:lineRule="exact"/>
        <w:ind w:firstLine="2062" w:firstLineChars="642"/>
        <w:outlineLvl w:val="1"/>
        <w:rPr>
          <w:rFonts w:hint="eastAsia" w:ascii="宋体" w:hAnsi="宋体" w:eastAsia="宋体" w:cs="宋体"/>
          <w:b/>
          <w:bCs/>
          <w:sz w:val="32"/>
          <w:szCs w:val="32"/>
          <w:highlight w:val="none"/>
        </w:rPr>
      </w:pPr>
    </w:p>
    <w:p w14:paraId="71721969">
      <w:pPr>
        <w:pStyle w:val="8"/>
        <w:spacing w:line="440" w:lineRule="exact"/>
        <w:ind w:firstLine="2062" w:firstLineChars="642"/>
        <w:outlineLvl w:val="1"/>
        <w:rPr>
          <w:rFonts w:hint="eastAsia" w:ascii="宋体" w:hAnsi="宋体" w:eastAsia="宋体" w:cs="宋体"/>
          <w:b/>
          <w:bCs/>
          <w:sz w:val="32"/>
          <w:szCs w:val="32"/>
          <w:highlight w:val="none"/>
        </w:rPr>
      </w:pPr>
    </w:p>
    <w:p w14:paraId="6106676B">
      <w:pPr>
        <w:pStyle w:val="8"/>
        <w:spacing w:line="440" w:lineRule="exact"/>
        <w:ind w:firstLine="2062" w:firstLineChars="642"/>
        <w:outlineLvl w:val="1"/>
        <w:rPr>
          <w:rFonts w:hint="eastAsia" w:ascii="宋体" w:hAnsi="宋体" w:eastAsia="宋体" w:cs="宋体"/>
          <w:b/>
          <w:bCs/>
          <w:sz w:val="32"/>
          <w:szCs w:val="32"/>
          <w:highlight w:val="none"/>
        </w:rPr>
      </w:pPr>
    </w:p>
    <w:p w14:paraId="35869078">
      <w:pPr>
        <w:pStyle w:val="8"/>
        <w:spacing w:line="440" w:lineRule="exact"/>
        <w:ind w:firstLine="2062" w:firstLineChars="642"/>
        <w:outlineLvl w:val="1"/>
        <w:rPr>
          <w:rFonts w:hint="eastAsia" w:ascii="宋体" w:hAnsi="宋体" w:eastAsia="宋体" w:cs="宋体"/>
          <w:b/>
          <w:bCs/>
          <w:sz w:val="32"/>
          <w:szCs w:val="32"/>
          <w:highlight w:val="none"/>
        </w:rPr>
      </w:pPr>
    </w:p>
    <w:p w14:paraId="13E0A8EE">
      <w:pPr>
        <w:pStyle w:val="8"/>
        <w:spacing w:line="440" w:lineRule="exact"/>
        <w:outlineLvl w:val="1"/>
        <w:rPr>
          <w:rFonts w:hint="eastAsia" w:ascii="宋体" w:hAnsi="宋体" w:eastAsia="宋体" w:cs="宋体"/>
          <w:b/>
          <w:bCs/>
          <w:sz w:val="32"/>
          <w:szCs w:val="32"/>
          <w:highlight w:val="none"/>
        </w:rPr>
      </w:pPr>
    </w:p>
    <w:p w14:paraId="24B02E6A">
      <w:pPr>
        <w:pStyle w:val="8"/>
        <w:spacing w:line="440" w:lineRule="exact"/>
        <w:outlineLvl w:val="1"/>
        <w:rPr>
          <w:rFonts w:hint="eastAsia" w:ascii="宋体" w:hAnsi="宋体" w:eastAsia="宋体" w:cs="宋体"/>
          <w:b/>
          <w:bCs/>
          <w:sz w:val="32"/>
          <w:szCs w:val="32"/>
          <w:highlight w:val="none"/>
        </w:rPr>
      </w:pPr>
    </w:p>
    <w:p w14:paraId="0BF13B2F">
      <w:pPr>
        <w:pStyle w:val="8"/>
        <w:spacing w:line="440" w:lineRule="exact"/>
        <w:outlineLvl w:val="1"/>
        <w:rPr>
          <w:rFonts w:hint="eastAsia" w:ascii="宋体" w:hAnsi="宋体" w:eastAsia="宋体" w:cs="宋体"/>
          <w:b/>
          <w:bCs/>
          <w:sz w:val="32"/>
          <w:szCs w:val="32"/>
          <w:highlight w:val="none"/>
        </w:rPr>
      </w:pPr>
    </w:p>
    <w:p w14:paraId="452289FB">
      <w:pPr>
        <w:pStyle w:val="8"/>
        <w:spacing w:line="440" w:lineRule="exact"/>
        <w:outlineLvl w:val="1"/>
        <w:rPr>
          <w:rFonts w:hint="eastAsia" w:ascii="宋体" w:hAnsi="宋体" w:eastAsia="宋体" w:cs="宋体"/>
          <w:b/>
          <w:bCs/>
          <w:sz w:val="32"/>
          <w:szCs w:val="32"/>
          <w:highlight w:val="none"/>
        </w:rPr>
      </w:pPr>
    </w:p>
    <w:p w14:paraId="72E88715">
      <w:pPr>
        <w:pStyle w:val="8"/>
        <w:spacing w:line="440" w:lineRule="exact"/>
        <w:outlineLvl w:val="1"/>
        <w:rPr>
          <w:rFonts w:hint="eastAsia" w:ascii="宋体" w:hAnsi="宋体" w:eastAsia="宋体" w:cs="宋体"/>
          <w:b/>
          <w:bCs/>
          <w:sz w:val="32"/>
          <w:szCs w:val="32"/>
          <w:highlight w:val="none"/>
        </w:rPr>
      </w:pPr>
    </w:p>
    <w:p w14:paraId="23D4AEDC">
      <w:pPr>
        <w:pStyle w:val="8"/>
        <w:spacing w:line="440" w:lineRule="exact"/>
        <w:outlineLvl w:val="1"/>
        <w:rPr>
          <w:rFonts w:hint="eastAsia" w:ascii="宋体" w:hAnsi="宋体" w:eastAsia="宋体" w:cs="宋体"/>
          <w:b/>
          <w:bCs/>
          <w:sz w:val="32"/>
          <w:szCs w:val="32"/>
          <w:highlight w:val="none"/>
        </w:rPr>
      </w:pPr>
    </w:p>
    <w:p w14:paraId="6FE536E0">
      <w:pPr>
        <w:pStyle w:val="8"/>
        <w:spacing w:line="440" w:lineRule="exact"/>
        <w:outlineLvl w:val="1"/>
        <w:rPr>
          <w:rFonts w:hint="eastAsia" w:ascii="宋体" w:hAnsi="宋体" w:eastAsia="宋体" w:cs="宋体"/>
          <w:b/>
          <w:bCs/>
          <w:sz w:val="32"/>
          <w:szCs w:val="32"/>
          <w:highlight w:val="none"/>
        </w:rPr>
      </w:pPr>
    </w:p>
    <w:p w14:paraId="5BEB3453">
      <w:pPr>
        <w:pStyle w:val="3"/>
        <w:keepNext/>
        <w:keepLines/>
        <w:pageBreakBefore w:val="0"/>
        <w:widowControl w:val="0"/>
        <w:numPr>
          <w:ilvl w:val="0"/>
          <w:numId w:val="9"/>
        </w:numPr>
        <w:kinsoku/>
        <w:wordWrap/>
        <w:overflowPunct/>
        <w:topLinePunct w:val="0"/>
        <w:autoSpaceDE/>
        <w:autoSpaceDN/>
        <w:bidi w:val="0"/>
        <w:adjustRightInd/>
        <w:snapToGrid/>
        <w:spacing w:before="0" w:after="0" w:line="560" w:lineRule="exact"/>
        <w:ind w:firstLine="643" w:firstLineChars="200"/>
        <w:jc w:val="center"/>
        <w:rPr>
          <w:rFonts w:hint="default" w:ascii="宋体" w:hAnsi="宋体" w:eastAsia="宋体" w:cs="宋体"/>
          <w:sz w:val="32"/>
          <w:szCs w:val="32"/>
          <w:highlight w:val="none"/>
          <w:lang w:val="en-US" w:eastAsia="zh-CN"/>
        </w:rPr>
      </w:pPr>
      <w:r>
        <w:rPr>
          <w:rFonts w:hint="default" w:ascii="宋体" w:hAnsi="宋体" w:eastAsia="宋体" w:cs="宋体"/>
          <w:sz w:val="32"/>
          <w:szCs w:val="32"/>
          <w:highlight w:val="none"/>
          <w:lang w:val="en-US" w:eastAsia="zh-CN"/>
        </w:rPr>
        <w:t>商务和技术偏</w:t>
      </w:r>
      <w:r>
        <w:rPr>
          <w:rFonts w:hint="eastAsia" w:ascii="宋体" w:hAnsi="宋体" w:eastAsia="宋体" w:cs="宋体"/>
          <w:sz w:val="32"/>
          <w:szCs w:val="32"/>
          <w:highlight w:val="none"/>
          <w:lang w:val="en-US" w:eastAsia="zh-CN"/>
        </w:rPr>
        <w:t>离</w:t>
      </w:r>
      <w:r>
        <w:rPr>
          <w:rFonts w:hint="default" w:ascii="宋体" w:hAnsi="宋体" w:eastAsia="宋体" w:cs="宋体"/>
          <w:sz w:val="32"/>
          <w:szCs w:val="32"/>
          <w:highlight w:val="none"/>
          <w:lang w:val="en-US" w:eastAsia="zh-CN"/>
        </w:rPr>
        <w:t>表</w:t>
      </w:r>
    </w:p>
    <w:p w14:paraId="6EAE7F75">
      <w:pPr>
        <w:numPr>
          <w:ilvl w:val="0"/>
          <w:numId w:val="0"/>
        </w:numPr>
        <w:rPr>
          <w:rFonts w:hint="default"/>
          <w:highlight w:val="none"/>
          <w:lang w:val="en-US" w:eastAsia="zh-CN"/>
        </w:rPr>
      </w:pPr>
    </w:p>
    <w:tbl>
      <w:tblPr>
        <w:tblStyle w:val="13"/>
        <w:tblW w:w="8562"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9"/>
        <w:gridCol w:w="3027"/>
        <w:gridCol w:w="2694"/>
        <w:gridCol w:w="1912"/>
      </w:tblGrid>
      <w:tr w14:paraId="6C36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bottom"/>
          </w:tcPr>
          <w:p w14:paraId="59E2D362">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b/>
                <w:bCs w:val="0"/>
                <w:spacing w:val="0"/>
                <w:kern w:val="0"/>
                <w:sz w:val="21"/>
                <w:szCs w:val="21"/>
                <w:highlight w:val="none"/>
              </w:rPr>
            </w:pPr>
            <w:r>
              <w:rPr>
                <w:rFonts w:hint="eastAsia" w:ascii="宋体" w:hAnsi="宋体" w:eastAsia="宋体" w:cs="宋体"/>
                <w:b/>
                <w:bCs w:val="0"/>
                <w:color w:val="000000"/>
                <w:spacing w:val="0"/>
                <w:w w:val="100"/>
                <w:kern w:val="0"/>
                <w:sz w:val="21"/>
                <w:szCs w:val="21"/>
                <w:highlight w:val="none"/>
                <w:shd w:val="clear" w:color="auto" w:fill="auto"/>
                <w:lang w:val="en-US" w:eastAsia="zh-CN" w:bidi="ar"/>
              </w:rPr>
              <w:t>序号</w:t>
            </w:r>
          </w:p>
        </w:tc>
        <w:tc>
          <w:tcPr>
            <w:tcW w:w="3027" w:type="dxa"/>
            <w:tcBorders>
              <w:top w:val="single" w:color="auto" w:sz="4" w:space="0"/>
              <w:left w:val="nil"/>
              <w:bottom w:val="single" w:color="auto" w:sz="4" w:space="0"/>
              <w:right w:val="single" w:color="auto" w:sz="4" w:space="0"/>
            </w:tcBorders>
            <w:shd w:val="clear" w:color="auto" w:fill="auto"/>
            <w:vAlign w:val="bottom"/>
          </w:tcPr>
          <w:p w14:paraId="20A4F4F9">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b/>
                <w:bCs w:val="0"/>
                <w:spacing w:val="0"/>
                <w:kern w:val="0"/>
                <w:sz w:val="21"/>
                <w:szCs w:val="21"/>
                <w:highlight w:val="none"/>
              </w:rPr>
            </w:pPr>
            <w:r>
              <w:rPr>
                <w:rFonts w:hint="eastAsia" w:ascii="宋体" w:hAnsi="宋体" w:eastAsia="宋体" w:cs="宋体"/>
                <w:b/>
                <w:bCs w:val="0"/>
                <w:color w:val="000000"/>
                <w:spacing w:val="0"/>
                <w:w w:val="100"/>
                <w:kern w:val="0"/>
                <w:sz w:val="21"/>
                <w:szCs w:val="21"/>
                <w:highlight w:val="none"/>
                <w:shd w:val="clear" w:color="auto" w:fill="auto"/>
                <w:lang w:val="en-US" w:eastAsia="zh-CN" w:bidi="ar"/>
              </w:rPr>
              <w:t>采购文件章节及条款号</w:t>
            </w:r>
          </w:p>
        </w:tc>
        <w:tc>
          <w:tcPr>
            <w:tcW w:w="2694" w:type="dxa"/>
            <w:tcBorders>
              <w:top w:val="single" w:color="auto" w:sz="4" w:space="0"/>
              <w:left w:val="nil"/>
              <w:bottom w:val="single" w:color="auto" w:sz="4" w:space="0"/>
              <w:right w:val="single" w:color="auto" w:sz="4" w:space="0"/>
            </w:tcBorders>
            <w:shd w:val="clear" w:color="auto" w:fill="auto"/>
            <w:vAlign w:val="bottom"/>
          </w:tcPr>
          <w:p w14:paraId="750C715A">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b/>
                <w:bCs w:val="0"/>
                <w:spacing w:val="0"/>
                <w:kern w:val="0"/>
                <w:sz w:val="21"/>
                <w:szCs w:val="21"/>
                <w:highlight w:val="none"/>
              </w:rPr>
            </w:pPr>
            <w:r>
              <w:rPr>
                <w:rFonts w:hint="eastAsia" w:ascii="宋体" w:hAnsi="宋体" w:eastAsia="宋体" w:cs="宋体"/>
                <w:b/>
                <w:bCs w:val="0"/>
                <w:color w:val="000000"/>
                <w:spacing w:val="0"/>
                <w:w w:val="100"/>
                <w:kern w:val="0"/>
                <w:sz w:val="21"/>
                <w:szCs w:val="21"/>
                <w:highlight w:val="none"/>
                <w:shd w:val="clear" w:color="auto" w:fill="auto"/>
                <w:lang w:val="en-US" w:eastAsia="zh-CN" w:bidi="ar"/>
              </w:rPr>
              <w:t>响应章节及条款号</w:t>
            </w:r>
          </w:p>
        </w:tc>
        <w:tc>
          <w:tcPr>
            <w:tcW w:w="1912" w:type="dxa"/>
            <w:tcBorders>
              <w:top w:val="single" w:color="auto" w:sz="4" w:space="0"/>
              <w:left w:val="nil"/>
              <w:bottom w:val="single" w:color="auto" w:sz="4" w:space="0"/>
              <w:right w:val="single" w:color="auto" w:sz="4" w:space="0"/>
            </w:tcBorders>
            <w:shd w:val="clear" w:color="auto" w:fill="auto"/>
            <w:vAlign w:val="bottom"/>
          </w:tcPr>
          <w:p w14:paraId="0FAABA18">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b/>
                <w:bCs w:val="0"/>
                <w:spacing w:val="0"/>
                <w:kern w:val="0"/>
                <w:sz w:val="21"/>
                <w:szCs w:val="21"/>
                <w:highlight w:val="none"/>
              </w:rPr>
            </w:pPr>
            <w:r>
              <w:rPr>
                <w:rFonts w:hint="eastAsia" w:ascii="宋体" w:hAnsi="宋体" w:eastAsia="宋体" w:cs="宋体"/>
                <w:b/>
                <w:bCs w:val="0"/>
                <w:color w:val="000000"/>
                <w:spacing w:val="0"/>
                <w:w w:val="100"/>
                <w:kern w:val="0"/>
                <w:sz w:val="21"/>
                <w:szCs w:val="21"/>
                <w:highlight w:val="none"/>
                <w:shd w:val="clear" w:color="auto" w:fill="auto"/>
                <w:lang w:val="en-US" w:eastAsia="zh-CN" w:bidi="ar"/>
              </w:rPr>
              <w:t>偏离说明</w:t>
            </w:r>
          </w:p>
        </w:tc>
      </w:tr>
      <w:tr w14:paraId="2067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C6E4869">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1</w:t>
            </w:r>
          </w:p>
        </w:tc>
        <w:tc>
          <w:tcPr>
            <w:tcW w:w="3027" w:type="dxa"/>
            <w:tcBorders>
              <w:top w:val="single" w:color="auto" w:sz="4" w:space="0"/>
              <w:left w:val="nil"/>
              <w:bottom w:val="single" w:color="auto" w:sz="4" w:space="0"/>
              <w:right w:val="single" w:color="auto" w:sz="4" w:space="0"/>
            </w:tcBorders>
            <w:shd w:val="clear" w:color="auto" w:fill="auto"/>
            <w:vAlign w:val="center"/>
          </w:tcPr>
          <w:p w14:paraId="4DE6B025">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第四章合同条款及格式</w:t>
            </w:r>
          </w:p>
        </w:tc>
        <w:tc>
          <w:tcPr>
            <w:tcW w:w="2694" w:type="dxa"/>
            <w:tcBorders>
              <w:top w:val="single" w:color="auto" w:sz="4" w:space="0"/>
              <w:left w:val="nil"/>
              <w:bottom w:val="single" w:color="auto" w:sz="4" w:space="0"/>
              <w:right w:val="single" w:color="auto" w:sz="4" w:space="0"/>
            </w:tcBorders>
            <w:shd w:val="clear" w:color="auto" w:fill="auto"/>
            <w:vAlign w:val="center"/>
          </w:tcPr>
          <w:p w14:paraId="663C0606">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第四章合同条款及格式</w:t>
            </w:r>
          </w:p>
        </w:tc>
        <w:tc>
          <w:tcPr>
            <w:tcW w:w="1912" w:type="dxa"/>
            <w:tcBorders>
              <w:top w:val="single" w:color="auto" w:sz="4" w:space="0"/>
              <w:left w:val="nil"/>
              <w:bottom w:val="single" w:color="auto" w:sz="4" w:space="0"/>
              <w:right w:val="single" w:color="auto" w:sz="4" w:space="0"/>
            </w:tcBorders>
            <w:shd w:val="clear" w:color="auto" w:fill="auto"/>
            <w:vAlign w:val="center"/>
          </w:tcPr>
          <w:p w14:paraId="256247CC">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lang w:eastAsia="zh-CN"/>
              </w:rPr>
            </w:pPr>
            <w:r>
              <w:rPr>
                <w:rFonts w:hint="eastAsia" w:ascii="宋体" w:hAnsi="宋体" w:eastAsia="宋体" w:cs="宋体"/>
                <w:spacing w:val="0"/>
                <w:kern w:val="0"/>
                <w:sz w:val="21"/>
                <w:szCs w:val="21"/>
                <w:highlight w:val="none"/>
                <w:lang w:eastAsia="zh-CN"/>
              </w:rPr>
              <w:t>完全响应</w:t>
            </w:r>
          </w:p>
        </w:tc>
      </w:tr>
      <w:tr w14:paraId="2B73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F180F3D">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2</w:t>
            </w:r>
          </w:p>
        </w:tc>
        <w:tc>
          <w:tcPr>
            <w:tcW w:w="3027" w:type="dxa"/>
            <w:tcBorders>
              <w:top w:val="single" w:color="auto" w:sz="4" w:space="0"/>
              <w:left w:val="nil"/>
              <w:bottom w:val="single" w:color="auto" w:sz="4" w:space="0"/>
              <w:right w:val="single" w:color="auto" w:sz="4" w:space="0"/>
            </w:tcBorders>
            <w:shd w:val="clear" w:color="auto" w:fill="auto"/>
            <w:vAlign w:val="center"/>
          </w:tcPr>
          <w:p w14:paraId="6C475D54">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第五章采购需求</w:t>
            </w:r>
          </w:p>
        </w:tc>
        <w:tc>
          <w:tcPr>
            <w:tcW w:w="2694" w:type="dxa"/>
            <w:tcBorders>
              <w:top w:val="single" w:color="auto" w:sz="4" w:space="0"/>
              <w:left w:val="nil"/>
              <w:bottom w:val="single" w:color="auto" w:sz="4" w:space="0"/>
              <w:right w:val="single" w:color="auto" w:sz="4" w:space="0"/>
            </w:tcBorders>
            <w:shd w:val="clear" w:color="auto" w:fill="auto"/>
            <w:vAlign w:val="center"/>
          </w:tcPr>
          <w:p w14:paraId="25D04A62">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第五章采购需求</w:t>
            </w:r>
          </w:p>
        </w:tc>
        <w:tc>
          <w:tcPr>
            <w:tcW w:w="1912" w:type="dxa"/>
            <w:tcBorders>
              <w:top w:val="single" w:color="auto" w:sz="4" w:space="0"/>
              <w:left w:val="nil"/>
              <w:bottom w:val="single" w:color="auto" w:sz="4" w:space="0"/>
              <w:right w:val="single" w:color="auto" w:sz="4" w:space="0"/>
            </w:tcBorders>
            <w:shd w:val="clear" w:color="auto" w:fill="auto"/>
            <w:vAlign w:val="center"/>
          </w:tcPr>
          <w:p w14:paraId="5A897AC2">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lang w:eastAsia="zh-CN"/>
              </w:rPr>
            </w:pPr>
            <w:r>
              <w:rPr>
                <w:rFonts w:hint="eastAsia" w:ascii="宋体" w:hAnsi="宋体" w:eastAsia="宋体" w:cs="宋体"/>
                <w:spacing w:val="0"/>
                <w:kern w:val="0"/>
                <w:sz w:val="21"/>
                <w:szCs w:val="21"/>
                <w:highlight w:val="none"/>
                <w:lang w:eastAsia="zh-CN"/>
              </w:rPr>
              <w:t>完全响应</w:t>
            </w:r>
          </w:p>
        </w:tc>
      </w:tr>
      <w:tr w14:paraId="3B68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bottom"/>
          </w:tcPr>
          <w:p w14:paraId="2EB3006B">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3027" w:type="dxa"/>
            <w:tcBorders>
              <w:top w:val="single" w:color="auto" w:sz="4" w:space="0"/>
              <w:left w:val="nil"/>
              <w:bottom w:val="single" w:color="auto" w:sz="4" w:space="0"/>
              <w:right w:val="single" w:color="auto" w:sz="4" w:space="0"/>
            </w:tcBorders>
            <w:shd w:val="clear" w:color="auto" w:fill="auto"/>
            <w:vAlign w:val="bottom"/>
          </w:tcPr>
          <w:p w14:paraId="04527776">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2694" w:type="dxa"/>
            <w:tcBorders>
              <w:top w:val="single" w:color="auto" w:sz="4" w:space="0"/>
              <w:left w:val="nil"/>
              <w:bottom w:val="single" w:color="auto" w:sz="4" w:space="0"/>
              <w:right w:val="single" w:color="auto" w:sz="4" w:space="0"/>
            </w:tcBorders>
            <w:shd w:val="clear" w:color="auto" w:fill="auto"/>
            <w:vAlign w:val="bottom"/>
          </w:tcPr>
          <w:p w14:paraId="2868CB80">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1912" w:type="dxa"/>
            <w:tcBorders>
              <w:top w:val="single" w:color="auto" w:sz="4" w:space="0"/>
              <w:left w:val="nil"/>
              <w:bottom w:val="single" w:color="auto" w:sz="4" w:space="0"/>
              <w:right w:val="single" w:color="auto" w:sz="4" w:space="0"/>
            </w:tcBorders>
            <w:shd w:val="clear" w:color="auto" w:fill="auto"/>
            <w:vAlign w:val="bottom"/>
          </w:tcPr>
          <w:p w14:paraId="7CCB705C">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r>
      <w:tr w14:paraId="7B57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bottom"/>
          </w:tcPr>
          <w:p w14:paraId="154D4BCF">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3027" w:type="dxa"/>
            <w:tcBorders>
              <w:top w:val="single" w:color="auto" w:sz="4" w:space="0"/>
              <w:left w:val="nil"/>
              <w:bottom w:val="single" w:color="auto" w:sz="4" w:space="0"/>
              <w:right w:val="single" w:color="auto" w:sz="4" w:space="0"/>
            </w:tcBorders>
            <w:shd w:val="clear" w:color="auto" w:fill="auto"/>
            <w:vAlign w:val="bottom"/>
          </w:tcPr>
          <w:p w14:paraId="647869FD">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2694" w:type="dxa"/>
            <w:tcBorders>
              <w:top w:val="single" w:color="auto" w:sz="4" w:space="0"/>
              <w:left w:val="nil"/>
              <w:bottom w:val="single" w:color="auto" w:sz="4" w:space="0"/>
              <w:right w:val="single" w:color="auto" w:sz="4" w:space="0"/>
            </w:tcBorders>
            <w:shd w:val="clear" w:color="auto" w:fill="auto"/>
            <w:vAlign w:val="bottom"/>
          </w:tcPr>
          <w:p w14:paraId="01C12271">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1912" w:type="dxa"/>
            <w:tcBorders>
              <w:top w:val="single" w:color="auto" w:sz="4" w:space="0"/>
              <w:left w:val="nil"/>
              <w:bottom w:val="single" w:color="auto" w:sz="4" w:space="0"/>
              <w:right w:val="single" w:color="auto" w:sz="4" w:space="0"/>
            </w:tcBorders>
            <w:shd w:val="clear" w:color="auto" w:fill="auto"/>
            <w:vAlign w:val="bottom"/>
          </w:tcPr>
          <w:p w14:paraId="71306576">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r>
      <w:tr w14:paraId="3A42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bottom"/>
          </w:tcPr>
          <w:p w14:paraId="4920E854">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3027" w:type="dxa"/>
            <w:tcBorders>
              <w:top w:val="single" w:color="auto" w:sz="4" w:space="0"/>
              <w:left w:val="nil"/>
              <w:bottom w:val="single" w:color="auto" w:sz="4" w:space="0"/>
              <w:right w:val="single" w:color="auto" w:sz="4" w:space="0"/>
            </w:tcBorders>
            <w:shd w:val="clear" w:color="auto" w:fill="auto"/>
            <w:vAlign w:val="bottom"/>
          </w:tcPr>
          <w:p w14:paraId="3FC743B0">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2694" w:type="dxa"/>
            <w:tcBorders>
              <w:top w:val="single" w:color="auto" w:sz="4" w:space="0"/>
              <w:left w:val="nil"/>
              <w:bottom w:val="single" w:color="auto" w:sz="4" w:space="0"/>
              <w:right w:val="single" w:color="auto" w:sz="4" w:space="0"/>
            </w:tcBorders>
            <w:shd w:val="clear" w:color="auto" w:fill="auto"/>
            <w:vAlign w:val="bottom"/>
          </w:tcPr>
          <w:p w14:paraId="2D5DB026">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1912" w:type="dxa"/>
            <w:tcBorders>
              <w:top w:val="single" w:color="auto" w:sz="4" w:space="0"/>
              <w:left w:val="nil"/>
              <w:bottom w:val="single" w:color="auto" w:sz="4" w:space="0"/>
              <w:right w:val="single" w:color="auto" w:sz="4" w:space="0"/>
            </w:tcBorders>
            <w:shd w:val="clear" w:color="auto" w:fill="auto"/>
            <w:vAlign w:val="bottom"/>
          </w:tcPr>
          <w:p w14:paraId="1E870ACF">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r>
      <w:tr w14:paraId="233E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bottom"/>
          </w:tcPr>
          <w:p w14:paraId="3202568C">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r>
              <w:rPr>
                <w:rFonts w:hint="eastAsia" w:ascii="宋体" w:hAnsi="宋体" w:eastAsia="宋体" w:cs="宋体"/>
                <w:color w:val="000000"/>
                <w:spacing w:val="0"/>
                <w:w w:val="100"/>
                <w:kern w:val="0"/>
                <w:sz w:val="21"/>
                <w:szCs w:val="21"/>
                <w:highlight w:val="none"/>
                <w:shd w:val="clear" w:color="auto" w:fill="auto"/>
                <w:lang w:val="en-US" w:eastAsia="zh-CN" w:bidi="ar"/>
              </w:rPr>
              <w:t>……</w:t>
            </w:r>
          </w:p>
        </w:tc>
        <w:tc>
          <w:tcPr>
            <w:tcW w:w="3027" w:type="dxa"/>
            <w:tcBorders>
              <w:top w:val="single" w:color="auto" w:sz="4" w:space="0"/>
              <w:left w:val="nil"/>
              <w:bottom w:val="single" w:color="auto" w:sz="4" w:space="0"/>
              <w:right w:val="single" w:color="auto" w:sz="4" w:space="0"/>
            </w:tcBorders>
            <w:shd w:val="clear" w:color="auto" w:fill="auto"/>
            <w:vAlign w:val="bottom"/>
          </w:tcPr>
          <w:p w14:paraId="3BC93977">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2694" w:type="dxa"/>
            <w:tcBorders>
              <w:top w:val="single" w:color="auto" w:sz="4" w:space="0"/>
              <w:left w:val="nil"/>
              <w:bottom w:val="single" w:color="auto" w:sz="4" w:space="0"/>
              <w:right w:val="single" w:color="auto" w:sz="4" w:space="0"/>
            </w:tcBorders>
            <w:shd w:val="clear" w:color="auto" w:fill="auto"/>
            <w:vAlign w:val="bottom"/>
          </w:tcPr>
          <w:p w14:paraId="3910BC67">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c>
          <w:tcPr>
            <w:tcW w:w="1912" w:type="dxa"/>
            <w:tcBorders>
              <w:top w:val="single" w:color="auto" w:sz="4" w:space="0"/>
              <w:left w:val="nil"/>
              <w:bottom w:val="single" w:color="auto" w:sz="4" w:space="0"/>
              <w:right w:val="single" w:color="auto" w:sz="4" w:space="0"/>
            </w:tcBorders>
            <w:shd w:val="clear" w:color="auto" w:fill="auto"/>
            <w:vAlign w:val="bottom"/>
          </w:tcPr>
          <w:p w14:paraId="31B797ED">
            <w:pPr>
              <w:keepNext w:val="0"/>
              <w:keepLines w:val="0"/>
              <w:widowControl/>
              <w:suppressLineNumbers w:val="0"/>
              <w:snapToGrid w:val="0"/>
              <w:spacing w:before="0" w:beforeAutospacing="0" w:after="0" w:afterAutospacing="0"/>
              <w:ind w:left="0" w:right="0" w:firstLine="0"/>
              <w:jc w:val="center"/>
              <w:rPr>
                <w:rFonts w:hint="eastAsia" w:ascii="宋体" w:hAnsi="宋体" w:eastAsia="宋体" w:cs="宋体"/>
                <w:spacing w:val="0"/>
                <w:kern w:val="0"/>
                <w:sz w:val="21"/>
                <w:szCs w:val="21"/>
                <w:highlight w:val="none"/>
              </w:rPr>
            </w:pPr>
          </w:p>
        </w:tc>
      </w:tr>
    </w:tbl>
    <w:p w14:paraId="3CA0C271">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spacing w:val="0"/>
          <w:kern w:val="2"/>
          <w:sz w:val="21"/>
          <w:szCs w:val="21"/>
          <w:highlight w:val="none"/>
        </w:rPr>
      </w:pPr>
      <w:r>
        <w:rPr>
          <w:rFonts w:hint="eastAsia" w:ascii="宋体" w:hAnsi="宋体" w:eastAsia="宋体" w:cs="宋体"/>
          <w:b/>
          <w:bCs/>
          <w:color w:val="000000"/>
          <w:spacing w:val="0"/>
          <w:w w:val="100"/>
          <w:kern w:val="2"/>
          <w:sz w:val="21"/>
          <w:szCs w:val="21"/>
          <w:highlight w:val="none"/>
          <w:shd w:val="clear" w:color="auto" w:fill="auto"/>
          <w:lang w:val="en-US" w:eastAsia="zh-CN" w:bidi="ar"/>
        </w:rPr>
        <w:t>供应商保证：除商务和技术偏离表列出的偏离外，供应商响应采购文件的全部要求。</w:t>
      </w:r>
    </w:p>
    <w:p w14:paraId="59841EC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color w:val="000000"/>
          <w:spacing w:val="0"/>
          <w:w w:val="100"/>
          <w:kern w:val="2"/>
          <w:sz w:val="24"/>
          <w:szCs w:val="24"/>
          <w:highlight w:val="none"/>
          <w:shd w:val="clear" w:color="auto" w:fill="auto"/>
          <w:lang w:val="en-US" w:eastAsia="zh-CN" w:bidi="ar"/>
        </w:rPr>
        <w:t xml:space="preserve"> </w:t>
      </w:r>
    </w:p>
    <w:p w14:paraId="1E8E6821">
      <w:pPr>
        <w:keepNext w:val="0"/>
        <w:keepLines w:val="0"/>
        <w:widowControl w:val="0"/>
        <w:suppressLineNumbers w:val="0"/>
        <w:autoSpaceDE w:val="0"/>
        <w:autoSpaceDN/>
        <w:spacing w:before="0" w:beforeAutospacing="0" w:after="0" w:afterAutospacing="0" w:line="360" w:lineRule="auto"/>
        <w:ind w:left="0" w:right="0" w:firstLineChars="200"/>
        <w:jc w:val="right"/>
        <w:rPr>
          <w:rFonts w:hint="eastAsia" w:ascii="宋体" w:hAnsi="宋体" w:eastAsia="宋体" w:cs="宋体"/>
          <w:color w:val="000000"/>
          <w:spacing w:val="0"/>
          <w:w w:val="100"/>
          <w:kern w:val="2"/>
          <w:sz w:val="24"/>
          <w:szCs w:val="24"/>
          <w:highlight w:val="none"/>
          <w:shd w:val="clear" w:color="auto" w:fill="auto"/>
          <w:lang w:val="en-US" w:eastAsia="zh-CN" w:bidi="ar"/>
        </w:rPr>
      </w:pPr>
      <w:r>
        <w:rPr>
          <w:rFonts w:hint="eastAsia" w:ascii="宋体" w:hAnsi="宋体" w:eastAsia="宋体" w:cs="宋体"/>
          <w:color w:val="000000"/>
          <w:spacing w:val="0"/>
          <w:w w:val="100"/>
          <w:kern w:val="2"/>
          <w:sz w:val="24"/>
          <w:szCs w:val="24"/>
          <w:highlight w:val="none"/>
          <w:shd w:val="clear" w:color="auto" w:fill="auto"/>
          <w:lang w:val="en-US" w:eastAsia="zh-CN" w:bidi="ar"/>
        </w:rPr>
        <w:t xml:space="preserve"> </w:t>
      </w:r>
    </w:p>
    <w:p w14:paraId="665B85A6">
      <w:pPr>
        <w:keepNext w:val="0"/>
        <w:keepLines w:val="0"/>
        <w:widowControl w:val="0"/>
        <w:suppressLineNumbers w:val="0"/>
        <w:autoSpaceDE w:val="0"/>
        <w:autoSpaceDN/>
        <w:spacing w:before="0" w:beforeAutospacing="0" w:after="0" w:afterAutospacing="0" w:line="360" w:lineRule="auto"/>
        <w:ind w:left="0" w:right="0" w:firstLineChars="200"/>
        <w:jc w:val="right"/>
        <w:rPr>
          <w:rFonts w:hint="eastAsia" w:ascii="宋体" w:hAnsi="宋体" w:eastAsia="宋体" w:cs="宋体"/>
          <w:color w:val="000000"/>
          <w:spacing w:val="0"/>
          <w:kern w:val="0"/>
          <w:sz w:val="24"/>
          <w:szCs w:val="24"/>
          <w:highlight w:val="none"/>
          <w:u w:val="single"/>
        </w:rPr>
      </w:pPr>
      <w:r>
        <w:rPr>
          <w:rFonts w:hint="eastAsia" w:ascii="宋体" w:hAnsi="宋体" w:eastAsia="宋体" w:cs="宋体"/>
          <w:color w:val="000000"/>
          <w:spacing w:val="0"/>
          <w:kern w:val="0"/>
          <w:sz w:val="24"/>
          <w:szCs w:val="24"/>
          <w:highlight w:val="none"/>
          <w:lang w:val="en-US" w:eastAsia="zh-CN" w:bidi="ar"/>
        </w:rPr>
        <w:t>供应商：</w:t>
      </w:r>
      <w:r>
        <w:rPr>
          <w:rFonts w:hint="eastAsia" w:ascii="宋体" w:hAnsi="宋体" w:eastAsia="宋体" w:cs="宋体"/>
          <w:color w:val="000000"/>
          <w:spacing w:val="0"/>
          <w:kern w:val="0"/>
          <w:sz w:val="24"/>
          <w:szCs w:val="24"/>
          <w:highlight w:val="none"/>
          <w:u w:val="single"/>
          <w:lang w:val="en-US" w:eastAsia="zh-CN" w:bidi="ar"/>
        </w:rPr>
        <w:t xml:space="preserve">                       （电子公章）</w:t>
      </w:r>
    </w:p>
    <w:p w14:paraId="5624F934">
      <w:pPr>
        <w:keepNext w:val="0"/>
        <w:keepLines w:val="0"/>
        <w:widowControl w:val="0"/>
        <w:suppressLineNumbers w:val="0"/>
        <w:spacing w:before="0" w:beforeAutospacing="0" w:after="0" w:afterAutospacing="0"/>
        <w:ind w:right="0"/>
        <w:jc w:val="center"/>
        <w:rPr>
          <w:rFonts w:hint="eastAsia" w:ascii="宋体" w:hAnsi="宋体" w:eastAsia="宋体" w:cs="宋体"/>
          <w:color w:val="000000"/>
          <w:spacing w:val="0"/>
          <w:w w:val="100"/>
          <w:kern w:val="0"/>
          <w:sz w:val="24"/>
          <w:szCs w:val="24"/>
          <w:highlight w:val="none"/>
          <w:shd w:val="clear" w:color="auto" w:fill="auto"/>
          <w:lang w:val="en-US" w:eastAsia="zh-CN" w:bidi="ar"/>
        </w:rPr>
      </w:pPr>
      <w:r>
        <w:rPr>
          <w:rFonts w:hint="eastAsia" w:ascii="宋体" w:hAnsi="宋体" w:eastAsia="宋体" w:cs="宋体"/>
          <w:color w:val="000000"/>
          <w:spacing w:val="0"/>
          <w:w w:val="100"/>
          <w:kern w:val="0"/>
          <w:sz w:val="24"/>
          <w:szCs w:val="24"/>
          <w:highlight w:val="none"/>
          <w:shd w:val="clear" w:color="auto" w:fill="auto"/>
          <w:lang w:val="en-US" w:eastAsia="zh-CN" w:bidi="ar"/>
        </w:rPr>
        <w:t xml:space="preserve">                       法定代表人（委托受托人）电子签字：</w:t>
      </w:r>
    </w:p>
    <w:p w14:paraId="273FAF9F">
      <w:pPr>
        <w:keepNext w:val="0"/>
        <w:keepLines w:val="0"/>
        <w:widowControl w:val="0"/>
        <w:suppressLineNumbers w:val="0"/>
        <w:spacing w:before="0" w:beforeAutospacing="0" w:after="0" w:afterAutospacing="0"/>
        <w:ind w:right="0"/>
        <w:jc w:val="right"/>
        <w:rPr>
          <w:rFonts w:hint="eastAsia" w:ascii="宋体" w:hAnsi="宋体" w:eastAsia="宋体" w:cs="宋体"/>
          <w:kern w:val="2"/>
          <w:sz w:val="24"/>
          <w:szCs w:val="24"/>
          <w:highlight w:val="none"/>
        </w:rPr>
      </w:pPr>
      <w:r>
        <w:rPr>
          <w:rFonts w:hint="eastAsia" w:ascii="宋体" w:hAnsi="宋体" w:eastAsia="宋体" w:cs="宋体"/>
          <w:color w:val="000000"/>
          <w:spacing w:val="0"/>
          <w:w w:val="100"/>
          <w:kern w:val="0"/>
          <w:sz w:val="24"/>
          <w:szCs w:val="24"/>
          <w:highlight w:val="none"/>
          <w:shd w:val="clear" w:color="auto" w:fill="auto"/>
          <w:lang w:val="en-US" w:eastAsia="zh-CN" w:bidi="ar"/>
        </w:rPr>
        <w:t>年  月  日</w:t>
      </w:r>
    </w:p>
    <w:p w14:paraId="16081FC7">
      <w:pPr>
        <w:spacing w:line="640" w:lineRule="exact"/>
        <w:jc w:val="center"/>
        <w:rPr>
          <w:rFonts w:hint="eastAsia" w:ascii="宋体" w:hAnsi="宋体" w:eastAsia="宋体" w:cs="宋体"/>
          <w:b/>
          <w:bCs/>
          <w:sz w:val="32"/>
          <w:szCs w:val="32"/>
          <w:highlight w:val="none"/>
        </w:rPr>
      </w:pPr>
    </w:p>
    <w:p w14:paraId="3FDF1D50">
      <w:pPr>
        <w:spacing w:line="640" w:lineRule="exact"/>
        <w:jc w:val="center"/>
        <w:rPr>
          <w:rFonts w:hint="eastAsia" w:ascii="宋体" w:hAnsi="宋体" w:eastAsia="宋体" w:cs="宋体"/>
          <w:b/>
          <w:bCs/>
          <w:sz w:val="32"/>
          <w:szCs w:val="32"/>
          <w:highlight w:val="none"/>
        </w:rPr>
      </w:pPr>
    </w:p>
    <w:p w14:paraId="5DE7F591">
      <w:pPr>
        <w:spacing w:line="640" w:lineRule="exact"/>
        <w:jc w:val="center"/>
        <w:rPr>
          <w:rFonts w:hint="eastAsia" w:ascii="宋体" w:hAnsi="宋体" w:eastAsia="宋体" w:cs="宋体"/>
          <w:b/>
          <w:bCs/>
          <w:sz w:val="32"/>
          <w:szCs w:val="32"/>
          <w:highlight w:val="none"/>
        </w:rPr>
      </w:pPr>
    </w:p>
    <w:p w14:paraId="6FBC25A8">
      <w:pPr>
        <w:spacing w:line="640" w:lineRule="exact"/>
        <w:jc w:val="center"/>
        <w:rPr>
          <w:rFonts w:hint="eastAsia" w:ascii="宋体" w:hAnsi="宋体" w:eastAsia="宋体" w:cs="宋体"/>
          <w:b/>
          <w:bCs/>
          <w:sz w:val="32"/>
          <w:szCs w:val="32"/>
          <w:highlight w:val="none"/>
        </w:rPr>
      </w:pPr>
    </w:p>
    <w:p w14:paraId="359B17F8">
      <w:pPr>
        <w:spacing w:line="640" w:lineRule="exact"/>
        <w:jc w:val="center"/>
        <w:rPr>
          <w:rFonts w:hint="eastAsia" w:ascii="宋体" w:hAnsi="宋体" w:eastAsia="宋体" w:cs="宋体"/>
          <w:b/>
          <w:bCs/>
          <w:sz w:val="32"/>
          <w:szCs w:val="32"/>
          <w:highlight w:val="none"/>
        </w:rPr>
      </w:pPr>
    </w:p>
    <w:p w14:paraId="27357406">
      <w:pPr>
        <w:spacing w:line="640" w:lineRule="exact"/>
        <w:jc w:val="center"/>
        <w:rPr>
          <w:rFonts w:hint="eastAsia" w:ascii="宋体" w:hAnsi="宋体" w:eastAsia="宋体" w:cs="宋体"/>
          <w:b/>
          <w:bCs/>
          <w:sz w:val="32"/>
          <w:szCs w:val="32"/>
          <w:highlight w:val="none"/>
        </w:rPr>
      </w:pPr>
    </w:p>
    <w:p w14:paraId="707B7FB3">
      <w:pPr>
        <w:spacing w:line="640" w:lineRule="exact"/>
        <w:jc w:val="center"/>
        <w:rPr>
          <w:rFonts w:hint="eastAsia" w:ascii="宋体" w:hAnsi="宋体" w:eastAsia="宋体" w:cs="宋体"/>
          <w:b/>
          <w:bCs/>
          <w:sz w:val="32"/>
          <w:szCs w:val="32"/>
          <w:highlight w:val="none"/>
        </w:rPr>
      </w:pPr>
    </w:p>
    <w:p w14:paraId="70842653">
      <w:pPr>
        <w:spacing w:line="640" w:lineRule="exact"/>
        <w:jc w:val="center"/>
        <w:rPr>
          <w:rFonts w:hint="eastAsia" w:ascii="宋体" w:hAnsi="宋体" w:eastAsia="宋体" w:cs="宋体"/>
          <w:b/>
          <w:bCs/>
          <w:sz w:val="32"/>
          <w:szCs w:val="32"/>
          <w:highlight w:val="none"/>
        </w:rPr>
      </w:pPr>
    </w:p>
    <w:p w14:paraId="518281EE">
      <w:pPr>
        <w:spacing w:line="640" w:lineRule="exact"/>
        <w:jc w:val="center"/>
        <w:rPr>
          <w:rFonts w:hint="eastAsia" w:ascii="宋体" w:hAnsi="宋体" w:eastAsia="宋体" w:cs="宋体"/>
          <w:b/>
          <w:bCs/>
          <w:sz w:val="32"/>
          <w:szCs w:val="32"/>
          <w:highlight w:val="none"/>
        </w:rPr>
      </w:pPr>
    </w:p>
    <w:p w14:paraId="4E93BF74">
      <w:pPr>
        <w:spacing w:line="640" w:lineRule="exact"/>
        <w:jc w:val="center"/>
        <w:rPr>
          <w:rFonts w:hint="eastAsia" w:ascii="宋体" w:hAnsi="宋体" w:eastAsia="宋体" w:cs="宋体"/>
          <w:b/>
          <w:bCs/>
          <w:sz w:val="32"/>
          <w:szCs w:val="32"/>
          <w:highlight w:val="none"/>
        </w:rPr>
      </w:pPr>
    </w:p>
    <w:p w14:paraId="2F78E3ED">
      <w:pPr>
        <w:spacing w:line="640" w:lineRule="exact"/>
        <w:jc w:val="center"/>
        <w:rPr>
          <w:rFonts w:hint="eastAsia" w:ascii="宋体" w:hAnsi="宋体" w:eastAsia="宋体" w:cs="宋体"/>
          <w:b/>
          <w:bCs/>
          <w:sz w:val="32"/>
          <w:szCs w:val="32"/>
          <w:highlight w:val="none"/>
        </w:rPr>
      </w:pPr>
    </w:p>
    <w:p w14:paraId="1CCD7766">
      <w:pPr>
        <w:spacing w:line="640" w:lineRule="exact"/>
        <w:jc w:val="center"/>
        <w:rPr>
          <w:rFonts w:hint="eastAsia" w:ascii="宋体" w:hAnsi="宋体" w:eastAsia="宋体" w:cs="宋体"/>
          <w:b/>
          <w:bCs/>
          <w:sz w:val="32"/>
          <w:szCs w:val="32"/>
          <w:highlight w:val="none"/>
        </w:rPr>
      </w:pPr>
    </w:p>
    <w:p w14:paraId="7BE95122">
      <w:pPr>
        <w:spacing w:line="520" w:lineRule="exact"/>
        <w:jc w:val="center"/>
        <w:rPr>
          <w:rFonts w:hint="default" w:ascii="仿宋" w:hAnsi="仿宋" w:eastAsia="仿宋" w:cs="仿宋"/>
          <w:b/>
          <w:bCs/>
          <w:color w:val="auto"/>
          <w:sz w:val="32"/>
          <w:highlight w:val="none"/>
          <w:lang w:val="en-US" w:eastAsia="zh-CN"/>
        </w:rPr>
      </w:pPr>
      <w:r>
        <w:rPr>
          <w:rFonts w:hint="eastAsia" w:ascii="仿宋" w:hAnsi="仿宋" w:eastAsia="仿宋" w:cs="仿宋"/>
          <w:b/>
          <w:bCs/>
          <w:color w:val="auto"/>
          <w:sz w:val="32"/>
          <w:highlight w:val="none"/>
          <w:lang w:val="en-US" w:eastAsia="zh-CN"/>
        </w:rPr>
        <w:t>四、人员配备表（项目服务团队人员）</w:t>
      </w:r>
    </w:p>
    <w:tbl>
      <w:tblPr>
        <w:tblStyle w:val="13"/>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091"/>
        <w:gridCol w:w="1208"/>
        <w:gridCol w:w="1725"/>
        <w:gridCol w:w="1554"/>
        <w:gridCol w:w="1420"/>
        <w:gridCol w:w="1035"/>
        <w:gridCol w:w="1035"/>
      </w:tblGrid>
      <w:tr w14:paraId="23AB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92" w:type="dxa"/>
            <w:noWrap w:val="0"/>
            <w:vAlign w:val="center"/>
          </w:tcPr>
          <w:p w14:paraId="3A944D8B">
            <w:pPr>
              <w:pStyle w:val="8"/>
              <w:adjustRightInd w:val="0"/>
              <w:snapToGrid w:val="0"/>
              <w:spacing w:line="30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091" w:type="dxa"/>
            <w:noWrap w:val="0"/>
            <w:vAlign w:val="center"/>
          </w:tcPr>
          <w:p w14:paraId="261EBEF6">
            <w:pPr>
              <w:pStyle w:val="8"/>
              <w:adjustRightInd w:val="0"/>
              <w:snapToGrid w:val="0"/>
              <w:spacing w:line="30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208" w:type="dxa"/>
            <w:noWrap w:val="0"/>
            <w:vAlign w:val="center"/>
          </w:tcPr>
          <w:p w14:paraId="70BC00F3">
            <w:pPr>
              <w:pStyle w:val="8"/>
              <w:adjustRightInd w:val="0"/>
              <w:snapToGrid w:val="0"/>
              <w:spacing w:line="30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年龄</w:t>
            </w:r>
          </w:p>
        </w:tc>
        <w:tc>
          <w:tcPr>
            <w:tcW w:w="1725" w:type="dxa"/>
            <w:noWrap w:val="0"/>
            <w:vAlign w:val="center"/>
          </w:tcPr>
          <w:p w14:paraId="5D198800">
            <w:pPr>
              <w:pStyle w:val="8"/>
              <w:adjustRightInd w:val="0"/>
              <w:snapToGrid w:val="0"/>
              <w:spacing w:line="30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w:t>
            </w:r>
          </w:p>
        </w:tc>
        <w:tc>
          <w:tcPr>
            <w:tcW w:w="1554" w:type="dxa"/>
            <w:noWrap w:val="0"/>
            <w:vAlign w:val="center"/>
          </w:tcPr>
          <w:p w14:paraId="45591F17">
            <w:pPr>
              <w:pStyle w:val="8"/>
              <w:adjustRightInd w:val="0"/>
              <w:snapToGrid w:val="0"/>
              <w:spacing w:line="30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有关证书</w:t>
            </w:r>
          </w:p>
        </w:tc>
        <w:tc>
          <w:tcPr>
            <w:tcW w:w="1420" w:type="dxa"/>
            <w:noWrap w:val="0"/>
            <w:vAlign w:val="center"/>
          </w:tcPr>
          <w:p w14:paraId="09F265E5">
            <w:pPr>
              <w:pStyle w:val="8"/>
              <w:adjustRightInd w:val="0"/>
              <w:snapToGrid w:val="0"/>
              <w:spacing w:line="30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工作年限</w:t>
            </w:r>
          </w:p>
        </w:tc>
        <w:tc>
          <w:tcPr>
            <w:tcW w:w="1035" w:type="dxa"/>
            <w:noWrap w:val="0"/>
            <w:vAlign w:val="center"/>
          </w:tcPr>
          <w:p w14:paraId="2C64A922">
            <w:pPr>
              <w:pStyle w:val="8"/>
              <w:adjustRightInd w:val="0"/>
              <w:snapToGrid w:val="0"/>
              <w:spacing w:line="30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学历</w:t>
            </w:r>
          </w:p>
        </w:tc>
        <w:tc>
          <w:tcPr>
            <w:tcW w:w="1035" w:type="dxa"/>
            <w:noWrap w:val="0"/>
            <w:vAlign w:val="center"/>
          </w:tcPr>
          <w:p w14:paraId="5AFEA5F6">
            <w:pPr>
              <w:pStyle w:val="8"/>
              <w:adjustRightInd w:val="0"/>
              <w:snapToGrid w:val="0"/>
              <w:spacing w:line="30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岗位</w:t>
            </w:r>
          </w:p>
        </w:tc>
      </w:tr>
      <w:tr w14:paraId="0046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2" w:type="dxa"/>
            <w:noWrap w:val="0"/>
            <w:vAlign w:val="center"/>
          </w:tcPr>
          <w:p w14:paraId="47222E4B">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91" w:type="dxa"/>
            <w:noWrap w:val="0"/>
            <w:vAlign w:val="center"/>
          </w:tcPr>
          <w:p w14:paraId="4FF24273">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208" w:type="dxa"/>
            <w:noWrap w:val="0"/>
            <w:vAlign w:val="center"/>
          </w:tcPr>
          <w:p w14:paraId="012EBFAA">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725" w:type="dxa"/>
            <w:noWrap w:val="0"/>
            <w:vAlign w:val="center"/>
          </w:tcPr>
          <w:p w14:paraId="4D003236">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554" w:type="dxa"/>
            <w:noWrap w:val="0"/>
            <w:vAlign w:val="center"/>
          </w:tcPr>
          <w:p w14:paraId="42D43268">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420" w:type="dxa"/>
            <w:noWrap w:val="0"/>
            <w:vAlign w:val="center"/>
          </w:tcPr>
          <w:p w14:paraId="401CEA82">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400452A0">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42248150">
            <w:pPr>
              <w:pStyle w:val="8"/>
              <w:adjustRightInd w:val="0"/>
              <w:snapToGrid w:val="0"/>
              <w:spacing w:line="300" w:lineRule="auto"/>
              <w:jc w:val="center"/>
              <w:rPr>
                <w:rFonts w:hint="eastAsia" w:ascii="仿宋" w:hAnsi="仿宋" w:eastAsia="仿宋" w:cs="仿宋"/>
                <w:color w:val="auto"/>
                <w:sz w:val="28"/>
                <w:szCs w:val="28"/>
                <w:highlight w:val="none"/>
              </w:rPr>
            </w:pPr>
          </w:p>
        </w:tc>
      </w:tr>
      <w:tr w14:paraId="4188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92" w:type="dxa"/>
            <w:noWrap w:val="0"/>
            <w:vAlign w:val="center"/>
          </w:tcPr>
          <w:p w14:paraId="0029BB91">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91" w:type="dxa"/>
            <w:noWrap w:val="0"/>
            <w:vAlign w:val="center"/>
          </w:tcPr>
          <w:p w14:paraId="08DB70B9">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208" w:type="dxa"/>
            <w:noWrap w:val="0"/>
            <w:vAlign w:val="center"/>
          </w:tcPr>
          <w:p w14:paraId="2CD81E4D">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725" w:type="dxa"/>
            <w:noWrap w:val="0"/>
            <w:vAlign w:val="center"/>
          </w:tcPr>
          <w:p w14:paraId="22EEF75F">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554" w:type="dxa"/>
            <w:noWrap w:val="0"/>
            <w:vAlign w:val="center"/>
          </w:tcPr>
          <w:p w14:paraId="2953702F">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420" w:type="dxa"/>
            <w:noWrap w:val="0"/>
            <w:vAlign w:val="center"/>
          </w:tcPr>
          <w:p w14:paraId="403C1236">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13B7EE7F">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1E1FFBDB">
            <w:pPr>
              <w:pStyle w:val="8"/>
              <w:adjustRightInd w:val="0"/>
              <w:snapToGrid w:val="0"/>
              <w:spacing w:line="300" w:lineRule="auto"/>
              <w:jc w:val="center"/>
              <w:rPr>
                <w:rFonts w:hint="eastAsia" w:ascii="仿宋" w:hAnsi="仿宋" w:eastAsia="仿宋" w:cs="仿宋"/>
                <w:color w:val="auto"/>
                <w:sz w:val="28"/>
                <w:szCs w:val="28"/>
                <w:highlight w:val="none"/>
              </w:rPr>
            </w:pPr>
          </w:p>
        </w:tc>
      </w:tr>
      <w:tr w14:paraId="2C65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92" w:type="dxa"/>
            <w:noWrap w:val="0"/>
            <w:vAlign w:val="center"/>
          </w:tcPr>
          <w:p w14:paraId="5FA2FA35">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91" w:type="dxa"/>
            <w:noWrap w:val="0"/>
            <w:vAlign w:val="center"/>
          </w:tcPr>
          <w:p w14:paraId="149D754D">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208" w:type="dxa"/>
            <w:noWrap w:val="0"/>
            <w:vAlign w:val="center"/>
          </w:tcPr>
          <w:p w14:paraId="5575806B">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725" w:type="dxa"/>
            <w:noWrap w:val="0"/>
            <w:vAlign w:val="center"/>
          </w:tcPr>
          <w:p w14:paraId="47785EC8">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554" w:type="dxa"/>
            <w:noWrap w:val="0"/>
            <w:vAlign w:val="center"/>
          </w:tcPr>
          <w:p w14:paraId="0C46113E">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420" w:type="dxa"/>
            <w:noWrap w:val="0"/>
            <w:vAlign w:val="center"/>
          </w:tcPr>
          <w:p w14:paraId="02D25CF6">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7B5370DE">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08E7161D">
            <w:pPr>
              <w:pStyle w:val="8"/>
              <w:adjustRightInd w:val="0"/>
              <w:snapToGrid w:val="0"/>
              <w:spacing w:line="300" w:lineRule="auto"/>
              <w:jc w:val="center"/>
              <w:rPr>
                <w:rFonts w:hint="eastAsia" w:ascii="仿宋" w:hAnsi="仿宋" w:eastAsia="仿宋" w:cs="仿宋"/>
                <w:color w:val="auto"/>
                <w:sz w:val="28"/>
                <w:szCs w:val="28"/>
                <w:highlight w:val="none"/>
              </w:rPr>
            </w:pPr>
          </w:p>
        </w:tc>
      </w:tr>
      <w:tr w14:paraId="5858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2" w:type="dxa"/>
            <w:noWrap w:val="0"/>
            <w:vAlign w:val="center"/>
          </w:tcPr>
          <w:p w14:paraId="2D2C92E7">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91" w:type="dxa"/>
            <w:noWrap w:val="0"/>
            <w:vAlign w:val="center"/>
          </w:tcPr>
          <w:p w14:paraId="5E3329E0">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208" w:type="dxa"/>
            <w:noWrap w:val="0"/>
            <w:vAlign w:val="center"/>
          </w:tcPr>
          <w:p w14:paraId="309DDB4C">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725" w:type="dxa"/>
            <w:noWrap w:val="0"/>
            <w:vAlign w:val="center"/>
          </w:tcPr>
          <w:p w14:paraId="4F181C3F">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554" w:type="dxa"/>
            <w:noWrap w:val="0"/>
            <w:vAlign w:val="center"/>
          </w:tcPr>
          <w:p w14:paraId="2382A253">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420" w:type="dxa"/>
            <w:noWrap w:val="0"/>
            <w:vAlign w:val="center"/>
          </w:tcPr>
          <w:p w14:paraId="2AFE2AD3">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138AC3BE">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19736122">
            <w:pPr>
              <w:pStyle w:val="8"/>
              <w:adjustRightInd w:val="0"/>
              <w:snapToGrid w:val="0"/>
              <w:spacing w:line="300" w:lineRule="auto"/>
              <w:jc w:val="center"/>
              <w:rPr>
                <w:rFonts w:hint="eastAsia" w:ascii="仿宋" w:hAnsi="仿宋" w:eastAsia="仿宋" w:cs="仿宋"/>
                <w:color w:val="auto"/>
                <w:sz w:val="28"/>
                <w:szCs w:val="28"/>
                <w:highlight w:val="none"/>
              </w:rPr>
            </w:pPr>
          </w:p>
        </w:tc>
      </w:tr>
      <w:tr w14:paraId="3FD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92" w:type="dxa"/>
            <w:noWrap w:val="0"/>
            <w:vAlign w:val="center"/>
          </w:tcPr>
          <w:p w14:paraId="60B9D391">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91" w:type="dxa"/>
            <w:noWrap w:val="0"/>
            <w:vAlign w:val="center"/>
          </w:tcPr>
          <w:p w14:paraId="3EE8247F">
            <w:pPr>
              <w:pStyle w:val="8"/>
              <w:adjustRightInd w:val="0"/>
              <w:snapToGrid w:val="0"/>
              <w:spacing w:line="30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08" w:type="dxa"/>
            <w:noWrap w:val="0"/>
            <w:vAlign w:val="center"/>
          </w:tcPr>
          <w:p w14:paraId="00DCA39B">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725" w:type="dxa"/>
            <w:noWrap w:val="0"/>
            <w:vAlign w:val="center"/>
          </w:tcPr>
          <w:p w14:paraId="7E67117C">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554" w:type="dxa"/>
            <w:noWrap w:val="0"/>
            <w:vAlign w:val="center"/>
          </w:tcPr>
          <w:p w14:paraId="0C4ABE4C">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420" w:type="dxa"/>
            <w:noWrap w:val="0"/>
            <w:vAlign w:val="center"/>
          </w:tcPr>
          <w:p w14:paraId="6596A90E">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4551A600">
            <w:pPr>
              <w:pStyle w:val="8"/>
              <w:adjustRightInd w:val="0"/>
              <w:snapToGrid w:val="0"/>
              <w:spacing w:line="300" w:lineRule="auto"/>
              <w:jc w:val="center"/>
              <w:rPr>
                <w:rFonts w:hint="eastAsia" w:ascii="仿宋" w:hAnsi="仿宋" w:eastAsia="仿宋" w:cs="仿宋"/>
                <w:color w:val="auto"/>
                <w:sz w:val="28"/>
                <w:szCs w:val="28"/>
                <w:highlight w:val="none"/>
              </w:rPr>
            </w:pPr>
          </w:p>
        </w:tc>
        <w:tc>
          <w:tcPr>
            <w:tcW w:w="1035" w:type="dxa"/>
            <w:noWrap w:val="0"/>
            <w:vAlign w:val="center"/>
          </w:tcPr>
          <w:p w14:paraId="0F608598">
            <w:pPr>
              <w:pStyle w:val="8"/>
              <w:adjustRightInd w:val="0"/>
              <w:snapToGrid w:val="0"/>
              <w:spacing w:line="300" w:lineRule="auto"/>
              <w:jc w:val="center"/>
              <w:rPr>
                <w:rFonts w:hint="eastAsia" w:ascii="仿宋" w:hAnsi="仿宋" w:eastAsia="仿宋" w:cs="仿宋"/>
                <w:color w:val="auto"/>
                <w:sz w:val="28"/>
                <w:szCs w:val="28"/>
                <w:highlight w:val="none"/>
              </w:rPr>
            </w:pPr>
          </w:p>
        </w:tc>
      </w:tr>
    </w:tbl>
    <w:p w14:paraId="3A46F77C">
      <w:pPr>
        <w:pStyle w:val="7"/>
        <w:spacing w:before="120" w:line="360" w:lineRule="auto"/>
        <w:ind w:left="0" w:right="3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注：格式不变，</w:t>
      </w:r>
      <w:r>
        <w:rPr>
          <w:rFonts w:hint="eastAsia" w:ascii="仿宋" w:hAnsi="仿宋" w:eastAsia="仿宋" w:cs="仿宋"/>
          <w:b/>
          <w:bCs/>
          <w:color w:val="auto"/>
          <w:sz w:val="28"/>
          <w:szCs w:val="28"/>
          <w:highlight w:val="none"/>
          <w:lang w:val="en-US" w:eastAsia="zh-CN"/>
        </w:rPr>
        <w:t>供应商可根据需要自行增加行数</w:t>
      </w:r>
      <w:r>
        <w:rPr>
          <w:rFonts w:hint="eastAsia" w:ascii="仿宋" w:hAnsi="仿宋" w:eastAsia="仿宋" w:cs="仿宋"/>
          <w:b/>
          <w:bCs/>
          <w:color w:val="auto"/>
          <w:sz w:val="28"/>
          <w:szCs w:val="28"/>
          <w:highlight w:val="none"/>
        </w:rPr>
        <w:t>。</w:t>
      </w:r>
    </w:p>
    <w:p w14:paraId="7A112D45">
      <w:pPr>
        <w:pStyle w:val="7"/>
        <w:spacing w:before="120" w:line="360" w:lineRule="auto"/>
        <w:ind w:left="0" w:right="34"/>
        <w:jc w:val="center"/>
        <w:rPr>
          <w:rFonts w:hint="eastAsia" w:ascii="宋体" w:hAnsi="宋体" w:eastAsia="宋体" w:cs="宋体"/>
          <w:kern w:val="0"/>
          <w:sz w:val="28"/>
          <w:szCs w:val="28"/>
          <w:highlight w:val="none"/>
          <w:lang w:val="en-US" w:eastAsia="zh-CN" w:bidi="ar-SA"/>
        </w:rPr>
      </w:pPr>
    </w:p>
    <w:p w14:paraId="1C61EF6D">
      <w:pPr>
        <w:autoSpaceDE w:val="0"/>
        <w:autoSpaceDN w:val="0"/>
        <w:adjustRightInd w:val="0"/>
        <w:spacing w:line="360" w:lineRule="auto"/>
        <w:jc w:val="right"/>
        <w:rPr>
          <w:rFonts w:hint="eastAsia" w:ascii="宋体" w:hAnsi="宋体" w:eastAsia="宋体" w:cs="宋体"/>
          <w:kern w:val="0"/>
          <w:sz w:val="28"/>
          <w:szCs w:val="28"/>
          <w:highlight w:val="none"/>
          <w:lang w:val="en-US" w:eastAsia="zh-CN" w:bidi="ar-SA"/>
        </w:rPr>
      </w:pPr>
    </w:p>
    <w:p w14:paraId="7132AB25">
      <w:pPr>
        <w:autoSpaceDE w:val="0"/>
        <w:autoSpaceDN w:val="0"/>
        <w:adjustRightInd w:val="0"/>
        <w:spacing w:line="360" w:lineRule="auto"/>
        <w:jc w:val="right"/>
        <w:rPr>
          <w:rFonts w:hint="eastAsia" w:ascii="宋体" w:hAnsi="宋体" w:eastAsia="宋体" w:cs="宋体"/>
          <w:kern w:val="0"/>
          <w:sz w:val="28"/>
          <w:szCs w:val="28"/>
          <w:highlight w:val="none"/>
          <w:lang w:val="en-US" w:eastAsia="zh-CN" w:bidi="ar-SA"/>
        </w:rPr>
      </w:pPr>
    </w:p>
    <w:p w14:paraId="0D9E418A">
      <w:pPr>
        <w:autoSpaceDE w:val="0"/>
        <w:autoSpaceDN w:val="0"/>
        <w:adjustRightInd w:val="0"/>
        <w:spacing w:line="360" w:lineRule="auto"/>
        <w:jc w:val="right"/>
        <w:rPr>
          <w:rFonts w:hint="eastAsia" w:ascii="宋体" w:hAnsi="宋体" w:eastAsia="宋体" w:cs="宋体"/>
          <w:kern w:val="0"/>
          <w:sz w:val="28"/>
          <w:szCs w:val="28"/>
          <w:highlight w:val="none"/>
          <w:lang w:val="zh-CN" w:eastAsia="zh-CN" w:bidi="ar-SA"/>
        </w:rPr>
      </w:pPr>
      <w:r>
        <w:rPr>
          <w:rFonts w:hint="eastAsia" w:ascii="宋体" w:hAnsi="宋体" w:eastAsia="宋体" w:cs="宋体"/>
          <w:kern w:val="0"/>
          <w:sz w:val="28"/>
          <w:szCs w:val="28"/>
          <w:highlight w:val="none"/>
          <w:lang w:val="en-US" w:eastAsia="zh-CN" w:bidi="ar-SA"/>
        </w:rPr>
        <w:t>供应商</w:t>
      </w:r>
      <w:r>
        <w:rPr>
          <w:rFonts w:hint="eastAsia" w:ascii="宋体" w:hAnsi="宋体" w:eastAsia="宋体" w:cs="宋体"/>
          <w:kern w:val="0"/>
          <w:sz w:val="28"/>
          <w:szCs w:val="28"/>
          <w:highlight w:val="none"/>
          <w:lang w:val="zh-CN" w:eastAsia="zh-CN" w:bidi="ar-SA"/>
        </w:rPr>
        <w:t>：（电子签章）</w:t>
      </w:r>
    </w:p>
    <w:p w14:paraId="58018B04">
      <w:pPr>
        <w:pStyle w:val="7"/>
        <w:spacing w:before="120" w:line="360" w:lineRule="auto"/>
        <w:ind w:left="0" w:right="34"/>
        <w:jc w:val="right"/>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val="zh-CN" w:eastAsia="zh-CN" w:bidi="ar-SA"/>
        </w:rPr>
        <w:t>日期：年月日</w:t>
      </w:r>
    </w:p>
    <w:p w14:paraId="41048763">
      <w:pPr>
        <w:spacing w:line="640" w:lineRule="exact"/>
        <w:jc w:val="center"/>
        <w:rPr>
          <w:rFonts w:hint="eastAsia" w:ascii="宋体" w:hAnsi="宋体" w:eastAsia="宋体" w:cs="宋体"/>
          <w:b w:val="0"/>
          <w:bCs w:val="0"/>
          <w:sz w:val="32"/>
          <w:szCs w:val="32"/>
          <w:highlight w:val="none"/>
        </w:rPr>
      </w:pPr>
    </w:p>
    <w:p w14:paraId="7128A265">
      <w:pPr>
        <w:pStyle w:val="20"/>
        <w:rPr>
          <w:rFonts w:hint="eastAsia" w:ascii="宋体" w:hAnsi="宋体" w:eastAsia="宋体" w:cs="宋体"/>
          <w:b w:val="0"/>
          <w:bCs w:val="0"/>
          <w:sz w:val="32"/>
          <w:szCs w:val="32"/>
          <w:highlight w:val="none"/>
        </w:rPr>
      </w:pPr>
    </w:p>
    <w:p w14:paraId="6B12FF03">
      <w:pPr>
        <w:pStyle w:val="20"/>
        <w:rPr>
          <w:rFonts w:hint="eastAsia" w:ascii="宋体" w:hAnsi="宋体" w:eastAsia="宋体" w:cs="宋体"/>
          <w:b w:val="0"/>
          <w:bCs w:val="0"/>
          <w:sz w:val="32"/>
          <w:szCs w:val="32"/>
          <w:highlight w:val="none"/>
        </w:rPr>
      </w:pPr>
    </w:p>
    <w:p w14:paraId="6C4D9EA2">
      <w:pPr>
        <w:pStyle w:val="20"/>
        <w:rPr>
          <w:rFonts w:hint="eastAsia" w:ascii="宋体" w:hAnsi="宋体" w:eastAsia="宋体" w:cs="宋体"/>
          <w:b w:val="0"/>
          <w:bCs w:val="0"/>
          <w:sz w:val="32"/>
          <w:szCs w:val="32"/>
          <w:highlight w:val="none"/>
        </w:rPr>
      </w:pPr>
    </w:p>
    <w:p w14:paraId="37D8159F">
      <w:pPr>
        <w:pStyle w:val="20"/>
        <w:rPr>
          <w:rFonts w:hint="eastAsia" w:ascii="宋体" w:hAnsi="宋体" w:eastAsia="宋体" w:cs="宋体"/>
          <w:b w:val="0"/>
          <w:bCs w:val="0"/>
          <w:sz w:val="32"/>
          <w:szCs w:val="32"/>
          <w:highlight w:val="none"/>
        </w:rPr>
      </w:pPr>
    </w:p>
    <w:p w14:paraId="3746EB3C">
      <w:pPr>
        <w:pStyle w:val="20"/>
        <w:rPr>
          <w:rFonts w:hint="eastAsia" w:ascii="宋体" w:hAnsi="宋体" w:eastAsia="宋体" w:cs="宋体"/>
          <w:b w:val="0"/>
          <w:bCs w:val="0"/>
          <w:sz w:val="32"/>
          <w:szCs w:val="32"/>
          <w:highlight w:val="none"/>
        </w:rPr>
      </w:pPr>
    </w:p>
    <w:p w14:paraId="11FD0315">
      <w:pPr>
        <w:pStyle w:val="20"/>
        <w:rPr>
          <w:rFonts w:hint="eastAsia" w:ascii="宋体" w:hAnsi="宋体" w:eastAsia="宋体" w:cs="宋体"/>
          <w:b w:val="0"/>
          <w:bCs w:val="0"/>
          <w:sz w:val="32"/>
          <w:szCs w:val="32"/>
          <w:highlight w:val="none"/>
        </w:rPr>
      </w:pPr>
    </w:p>
    <w:p w14:paraId="2D86B12B">
      <w:pPr>
        <w:pStyle w:val="20"/>
        <w:rPr>
          <w:rFonts w:hint="eastAsia" w:ascii="宋体" w:hAnsi="宋体" w:eastAsia="宋体" w:cs="宋体"/>
          <w:b w:val="0"/>
          <w:bCs w:val="0"/>
          <w:sz w:val="32"/>
          <w:szCs w:val="32"/>
          <w:highlight w:val="none"/>
        </w:rPr>
      </w:pPr>
    </w:p>
    <w:p w14:paraId="370202E6">
      <w:pPr>
        <w:pStyle w:val="20"/>
        <w:rPr>
          <w:rFonts w:hint="eastAsia" w:ascii="宋体" w:hAnsi="宋体" w:eastAsia="宋体" w:cs="宋体"/>
          <w:b w:val="0"/>
          <w:bCs w:val="0"/>
          <w:sz w:val="32"/>
          <w:szCs w:val="32"/>
          <w:highlight w:val="none"/>
        </w:rPr>
      </w:pPr>
    </w:p>
    <w:p w14:paraId="0ECA54F3">
      <w:pPr>
        <w:pStyle w:val="20"/>
        <w:rPr>
          <w:rFonts w:hint="eastAsia" w:ascii="宋体" w:hAnsi="宋体" w:eastAsia="宋体" w:cs="宋体"/>
          <w:b w:val="0"/>
          <w:bCs w:val="0"/>
          <w:sz w:val="32"/>
          <w:szCs w:val="32"/>
          <w:highlight w:val="none"/>
        </w:rPr>
      </w:pPr>
    </w:p>
    <w:p w14:paraId="55AF660A">
      <w:pPr>
        <w:pStyle w:val="20"/>
        <w:rPr>
          <w:rFonts w:hint="eastAsia" w:ascii="宋体" w:hAnsi="宋体" w:eastAsia="宋体" w:cs="宋体"/>
          <w:b w:val="0"/>
          <w:bCs w:val="0"/>
          <w:sz w:val="32"/>
          <w:szCs w:val="32"/>
          <w:highlight w:val="none"/>
        </w:rPr>
      </w:pPr>
    </w:p>
    <w:p w14:paraId="713912E7">
      <w:pPr>
        <w:pStyle w:val="20"/>
        <w:rPr>
          <w:rFonts w:hint="eastAsia" w:ascii="宋体" w:hAnsi="宋体" w:eastAsia="宋体" w:cs="宋体"/>
          <w:b w:val="0"/>
          <w:bCs w:val="0"/>
          <w:sz w:val="32"/>
          <w:szCs w:val="32"/>
          <w:highlight w:val="none"/>
        </w:rPr>
      </w:pPr>
    </w:p>
    <w:p w14:paraId="7A6CE286">
      <w:pPr>
        <w:pStyle w:val="20"/>
        <w:rPr>
          <w:rFonts w:hint="eastAsia" w:ascii="宋体" w:hAnsi="宋体" w:eastAsia="宋体" w:cs="宋体"/>
          <w:b w:val="0"/>
          <w:bCs w:val="0"/>
          <w:sz w:val="32"/>
          <w:szCs w:val="32"/>
          <w:highlight w:val="none"/>
        </w:rPr>
      </w:pPr>
    </w:p>
    <w:p w14:paraId="01E92959">
      <w:pPr>
        <w:numPr>
          <w:ilvl w:val="0"/>
          <w:numId w:val="0"/>
        </w:numPr>
        <w:spacing w:line="640" w:lineRule="exact"/>
        <w:ind w:leftChars="200"/>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五、服务承诺（格式由供应商自定，加盖供应商电子签章）</w:t>
      </w:r>
    </w:p>
    <w:p w14:paraId="05342F9E">
      <w:pPr>
        <w:numPr>
          <w:ilvl w:val="0"/>
          <w:numId w:val="0"/>
        </w:numPr>
        <w:spacing w:line="640" w:lineRule="exact"/>
        <w:ind w:leftChars="200"/>
        <w:jc w:val="center"/>
        <w:rPr>
          <w:rFonts w:hint="eastAsia" w:ascii="宋体" w:hAnsi="宋体" w:eastAsia="宋体" w:cs="宋体"/>
          <w:highlight w:val="none"/>
        </w:rPr>
      </w:pPr>
      <w:r>
        <w:rPr>
          <w:rFonts w:hint="eastAsia" w:ascii="宋体" w:hAnsi="宋体" w:cs="宋体"/>
          <w:b/>
          <w:bCs/>
          <w:sz w:val="32"/>
          <w:szCs w:val="32"/>
          <w:highlight w:val="none"/>
          <w:lang w:eastAsia="zh-CN"/>
        </w:rPr>
        <w:t>六、</w:t>
      </w:r>
      <w:r>
        <w:rPr>
          <w:rFonts w:hint="eastAsia" w:ascii="宋体" w:hAnsi="宋体" w:eastAsia="宋体" w:cs="宋体"/>
          <w:b/>
          <w:bCs/>
          <w:sz w:val="32"/>
          <w:szCs w:val="32"/>
          <w:highlight w:val="none"/>
        </w:rPr>
        <w:t>供应商必须提交的资格证明文件</w:t>
      </w:r>
      <w:r>
        <w:rPr>
          <w:rFonts w:hint="eastAsia" w:ascii="宋体" w:hAnsi="宋体" w:eastAsia="宋体" w:cs="宋体"/>
          <w:b/>
          <w:bCs/>
          <w:sz w:val="32"/>
          <w:szCs w:val="32"/>
          <w:highlight w:val="none"/>
          <w:lang w:val="en-US" w:eastAsia="zh-CN"/>
        </w:rPr>
        <w:t>(提供的所有文件均需加盖供应商电子签章）</w:t>
      </w:r>
    </w:p>
    <w:p w14:paraId="1A4A06CD">
      <w:pPr>
        <w:rPr>
          <w:rFonts w:hint="eastAsia" w:ascii="宋体" w:hAnsi="宋体" w:eastAsia="宋体" w:cs="宋体"/>
          <w:highlight w:val="none"/>
        </w:rPr>
      </w:pPr>
      <w:r>
        <w:rPr>
          <w:rFonts w:hint="eastAsia" w:ascii="宋体" w:hAnsi="宋体" w:eastAsia="宋体" w:cs="宋体"/>
          <w:highlight w:val="none"/>
        </w:rPr>
        <w:t xml:space="preserve"> </w:t>
      </w:r>
    </w:p>
    <w:p w14:paraId="07171909">
      <w:pPr>
        <w:widowControl/>
        <w:spacing w:line="520" w:lineRule="exact"/>
        <w:ind w:left="1260" w:firstLine="643"/>
        <w:jc w:val="left"/>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七</w:t>
      </w:r>
      <w:r>
        <w:rPr>
          <w:rFonts w:hint="eastAsia" w:ascii="宋体" w:hAnsi="宋体" w:eastAsia="宋体" w:cs="宋体"/>
          <w:b/>
          <w:bCs/>
          <w:sz w:val="32"/>
          <w:szCs w:val="32"/>
          <w:highlight w:val="none"/>
        </w:rPr>
        <w:t>、综合评分时</w:t>
      </w:r>
      <w:r>
        <w:rPr>
          <w:rFonts w:hint="eastAsia" w:ascii="宋体" w:hAnsi="宋体" w:eastAsia="宋体" w:cs="宋体"/>
          <w:b/>
          <w:bCs/>
          <w:sz w:val="32"/>
          <w:szCs w:val="32"/>
          <w:highlight w:val="none"/>
          <w:lang w:eastAsia="zh-CN"/>
        </w:rPr>
        <w:t>供应商</w:t>
      </w:r>
      <w:r>
        <w:rPr>
          <w:rFonts w:hint="eastAsia" w:ascii="宋体" w:hAnsi="宋体" w:eastAsia="宋体" w:cs="宋体"/>
          <w:b/>
          <w:bCs/>
          <w:sz w:val="32"/>
          <w:szCs w:val="32"/>
          <w:highlight w:val="none"/>
        </w:rPr>
        <w:t>需提供的证明文件</w:t>
      </w:r>
    </w:p>
    <w:p w14:paraId="3742861F">
      <w:pPr>
        <w:spacing w:line="520" w:lineRule="exact"/>
        <w:ind w:firstLine="643"/>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w:t>
      </w:r>
      <w:r>
        <w:rPr>
          <w:rFonts w:hint="eastAsia" w:ascii="宋体" w:hAnsi="宋体" w:eastAsia="宋体" w:cs="宋体"/>
          <w:b/>
          <w:bCs/>
          <w:sz w:val="28"/>
          <w:szCs w:val="28"/>
          <w:highlight w:val="none"/>
        </w:rPr>
        <w:t>各</w:t>
      </w:r>
      <w:r>
        <w:rPr>
          <w:rFonts w:hint="eastAsia" w:ascii="宋体" w:hAnsi="宋体" w:eastAsia="宋体" w:cs="宋体"/>
          <w:b/>
          <w:bCs/>
          <w:sz w:val="28"/>
          <w:szCs w:val="28"/>
          <w:highlight w:val="none"/>
          <w:lang w:eastAsia="zh-CN"/>
        </w:rPr>
        <w:t>供应商</w:t>
      </w:r>
      <w:r>
        <w:rPr>
          <w:rFonts w:hint="eastAsia" w:ascii="宋体" w:hAnsi="宋体" w:eastAsia="宋体" w:cs="宋体"/>
          <w:b/>
          <w:bCs/>
          <w:sz w:val="28"/>
          <w:szCs w:val="28"/>
          <w:highlight w:val="none"/>
        </w:rPr>
        <w:t>必须在“综合评分提供的证明材料”模块中对应的接口上传相关证明材料，未在指定模块中上传材料的视同未提供证明材料处理</w:t>
      </w:r>
      <w:r>
        <w:rPr>
          <w:rFonts w:hint="eastAsia" w:ascii="宋体" w:hAnsi="宋体" w:eastAsia="宋体" w:cs="宋体"/>
          <w:b/>
          <w:bCs/>
          <w:sz w:val="32"/>
          <w:szCs w:val="32"/>
          <w:highlight w:val="none"/>
        </w:rPr>
        <w:t>）</w:t>
      </w:r>
    </w:p>
    <w:p w14:paraId="66D47D3F">
      <w:pPr>
        <w:widowControl/>
        <w:spacing w:line="520" w:lineRule="exact"/>
        <w:ind w:firstLine="1108"/>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w:t>
      </w:r>
    </w:p>
    <w:p w14:paraId="2D503A8E">
      <w:pPr>
        <w:widowControl/>
        <w:spacing w:line="520" w:lineRule="exact"/>
        <w:ind w:firstLine="1108"/>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八</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lang w:eastAsia="zh-CN"/>
        </w:rPr>
        <w:t>供应商</w:t>
      </w:r>
      <w:r>
        <w:rPr>
          <w:rFonts w:hint="eastAsia" w:ascii="宋体" w:hAnsi="宋体" w:eastAsia="宋体" w:cs="宋体"/>
          <w:b/>
          <w:bCs/>
          <w:sz w:val="32"/>
          <w:szCs w:val="32"/>
          <w:highlight w:val="none"/>
        </w:rPr>
        <w:t>认为有必要提供并说明的其他资料</w:t>
      </w:r>
    </w:p>
    <w:p w14:paraId="6BCFC021">
      <w:pPr>
        <w:widowControl/>
        <w:spacing w:line="520" w:lineRule="exact"/>
        <w:jc w:val="left"/>
        <w:rPr>
          <w:rFonts w:hint="eastAsia" w:ascii="宋体" w:hAnsi="宋体" w:eastAsia="宋体" w:cs="宋体"/>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如需上传其他资料，可在“招标文件的其他材料”模块中上传相关材料，格式由</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自定，加盖</w:t>
      </w:r>
      <w:r>
        <w:rPr>
          <w:rFonts w:hint="eastAsia" w:ascii="宋体" w:hAnsi="宋体" w:eastAsia="宋体" w:cs="宋体"/>
          <w:sz w:val="28"/>
          <w:szCs w:val="28"/>
          <w:highlight w:val="none"/>
          <w:lang w:eastAsia="zh-CN"/>
        </w:rPr>
        <w:t>供应商</w:t>
      </w:r>
      <w:r>
        <w:rPr>
          <w:rFonts w:hint="eastAsia" w:ascii="宋体" w:hAnsi="宋体" w:eastAsia="宋体" w:cs="宋体"/>
          <w:bCs/>
          <w:sz w:val="28"/>
          <w:szCs w:val="28"/>
          <w:highlight w:val="none"/>
        </w:rPr>
        <w:t>电子签章</w:t>
      </w:r>
      <w:r>
        <w:rPr>
          <w:rFonts w:hint="eastAsia" w:ascii="宋体" w:hAnsi="宋体" w:eastAsia="宋体" w:cs="宋体"/>
          <w:sz w:val="28"/>
          <w:szCs w:val="28"/>
          <w:highlight w:val="none"/>
        </w:rPr>
        <w:t>）</w:t>
      </w:r>
    </w:p>
    <w:p w14:paraId="0747F1C4">
      <w:pPr>
        <w:widowControl/>
        <w:jc w:val="left"/>
        <w:rPr>
          <w:rFonts w:hint="eastAsia" w:ascii="宋体" w:hAnsi="宋体" w:eastAsia="宋体" w:cs="宋体"/>
          <w:highlight w:val="none"/>
        </w:rPr>
        <w:sectPr>
          <w:pgSz w:w="11906" w:h="16838" w:orient="landscape"/>
          <w:pgMar w:top="1304" w:right="1417" w:bottom="1304" w:left="1417" w:header="851" w:footer="992" w:gutter="0"/>
          <w:pgNumType w:fmt="decimal"/>
          <w:cols w:space="720" w:num="1"/>
        </w:sectPr>
      </w:pPr>
    </w:p>
    <w:p w14:paraId="3C81091D">
      <w:pPr>
        <w:spacing w:line="640" w:lineRule="exact"/>
        <w:jc w:val="left"/>
        <w:rPr>
          <w:rFonts w:hint="eastAsia" w:ascii="宋体" w:hAnsi="宋体" w:eastAsia="宋体" w:cs="宋体"/>
          <w:sz w:val="30"/>
          <w:szCs w:val="30"/>
          <w:highlight w:val="none"/>
        </w:rPr>
      </w:pPr>
      <w:r>
        <w:rPr>
          <w:rFonts w:hint="eastAsia" w:ascii="宋体" w:hAnsi="宋体" w:eastAsia="宋体" w:cs="宋体"/>
          <w:b/>
          <w:bCs/>
          <w:sz w:val="30"/>
          <w:szCs w:val="30"/>
          <w:highlight w:val="none"/>
        </w:rPr>
        <w:t xml:space="preserve">示范格式一  </w:t>
      </w:r>
      <w:r>
        <w:rPr>
          <w:rFonts w:hint="eastAsia" w:ascii="宋体" w:hAnsi="宋体" w:eastAsia="宋体" w:cs="宋体"/>
          <w:sz w:val="30"/>
          <w:szCs w:val="30"/>
          <w:highlight w:val="none"/>
        </w:rPr>
        <w:t xml:space="preserve">      </w:t>
      </w:r>
    </w:p>
    <w:p w14:paraId="7C4262CF">
      <w:pPr>
        <w:spacing w:line="640" w:lineRule="exact"/>
        <w:ind w:firstLine="289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法定代表人资格证明</w:t>
      </w:r>
    </w:p>
    <w:p w14:paraId="0C210A71">
      <w:pPr>
        <w:spacing w:line="6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单位名称：</w:t>
      </w:r>
    </w:p>
    <w:p w14:paraId="194005F8">
      <w:pPr>
        <w:spacing w:line="6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14:paraId="726D5F28">
      <w:pPr>
        <w:spacing w:line="6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姓名：     性别：      年龄：      职务：   电话：</w:t>
      </w:r>
    </w:p>
    <w:p w14:paraId="28462F53">
      <w:pPr>
        <w:spacing w:line="640" w:lineRule="exact"/>
        <w:ind w:left="1"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供应商</w:t>
      </w:r>
      <w:r>
        <w:rPr>
          <w:rFonts w:hint="eastAsia" w:ascii="宋体" w:hAnsi="宋体" w:eastAsia="宋体" w:cs="宋体"/>
          <w:sz w:val="28"/>
          <w:szCs w:val="28"/>
          <w:highlight w:val="none"/>
          <w:u w:val="single"/>
        </w:rPr>
        <w:t>单位名称）</w:t>
      </w:r>
      <w:r>
        <w:rPr>
          <w:rFonts w:hint="eastAsia" w:ascii="宋体" w:hAnsi="宋体" w:eastAsia="宋体" w:cs="宋体"/>
          <w:sz w:val="28"/>
          <w:szCs w:val="28"/>
          <w:highlight w:val="none"/>
        </w:rPr>
        <w:t>的法定代表人。为参与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项目，签署上述项目的投标文件、进行招标、签署合同和处理与之有关的一切事务。</w:t>
      </w:r>
    </w:p>
    <w:p w14:paraId="75C1E0AF">
      <w:pPr>
        <w:spacing w:line="64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8518BD5">
      <w:pPr>
        <w:spacing w:line="6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E6638AE">
      <w:pPr>
        <w:spacing w:line="64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5611F15B">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6AA56F7">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（电子签章）     </w:t>
      </w:r>
    </w:p>
    <w:p w14:paraId="5749B36B">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E6F124A">
      <w:pPr>
        <w:pStyle w:val="23"/>
        <w:spacing w:before="0" w:after="0" w:line="520" w:lineRule="exact"/>
        <w:ind w:left="4760" w:right="560" w:hanging="182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8729207">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EA8EA61">
      <w:pPr>
        <w:spacing w:line="640" w:lineRule="exact"/>
        <w:ind w:firstLine="560"/>
        <w:rPr>
          <w:rFonts w:hint="eastAsia" w:ascii="宋体" w:hAnsi="宋体" w:eastAsia="宋体" w:cs="宋体"/>
          <w:sz w:val="28"/>
          <w:szCs w:val="28"/>
          <w:highlight w:val="none"/>
        </w:rPr>
      </w:pPr>
      <w:r>
        <w:rPr>
          <w:rFonts w:hint="eastAsia" w:ascii="宋体" w:hAnsi="宋体" w:eastAsia="宋体" w:cs="宋体"/>
          <w:bCs/>
          <w:sz w:val="28"/>
          <w:szCs w:val="28"/>
          <w:highlight w:val="none"/>
        </w:rPr>
        <w:t>注：</w:t>
      </w:r>
      <w:r>
        <w:rPr>
          <w:rFonts w:hint="eastAsia" w:ascii="宋体" w:hAnsi="宋体" w:eastAsia="宋体" w:cs="宋体"/>
          <w:bCs/>
          <w:sz w:val="28"/>
          <w:szCs w:val="28"/>
          <w:highlight w:val="none"/>
          <w:lang w:eastAsia="zh-CN"/>
        </w:rPr>
        <w:t>供应商</w:t>
      </w:r>
      <w:r>
        <w:rPr>
          <w:rFonts w:hint="eastAsia" w:ascii="宋体" w:hAnsi="宋体" w:eastAsia="宋体" w:cs="宋体"/>
          <w:bCs/>
          <w:sz w:val="28"/>
          <w:szCs w:val="28"/>
          <w:highlight w:val="none"/>
        </w:rPr>
        <w:t>法定代表人参加投标的，必须附法定代表人身份证扫描件加盖</w:t>
      </w:r>
      <w:r>
        <w:rPr>
          <w:rFonts w:hint="eastAsia" w:ascii="宋体" w:hAnsi="宋体" w:eastAsia="宋体" w:cs="宋体"/>
          <w:bCs/>
          <w:sz w:val="28"/>
          <w:szCs w:val="28"/>
          <w:highlight w:val="none"/>
          <w:lang w:eastAsia="zh-CN"/>
        </w:rPr>
        <w:t>供应商</w:t>
      </w:r>
      <w:r>
        <w:rPr>
          <w:rFonts w:hint="eastAsia" w:ascii="宋体" w:hAnsi="宋体" w:eastAsia="宋体" w:cs="宋体"/>
          <w:bCs/>
          <w:sz w:val="28"/>
          <w:szCs w:val="28"/>
          <w:highlight w:val="none"/>
        </w:rPr>
        <w:t>电子签章。</w:t>
      </w:r>
      <w:r>
        <w:rPr>
          <w:rFonts w:hint="eastAsia" w:ascii="宋体" w:hAnsi="宋体" w:eastAsia="宋体" w:cs="宋体"/>
          <w:sz w:val="28"/>
          <w:szCs w:val="28"/>
          <w:highlight w:val="none"/>
        </w:rPr>
        <w:t>法定代表人授权其他人参加投标的，仅需填写“授权委托书”。</w:t>
      </w:r>
    </w:p>
    <w:p w14:paraId="103B4707">
      <w:pPr>
        <w:rPr>
          <w:rFonts w:hint="eastAsia" w:ascii="宋体" w:hAnsi="宋体" w:eastAsia="宋体" w:cs="宋体"/>
          <w:highlight w:val="none"/>
        </w:rPr>
      </w:pPr>
      <w:r>
        <w:rPr>
          <w:rFonts w:hint="eastAsia" w:ascii="宋体" w:hAnsi="宋体" w:eastAsia="宋体" w:cs="宋体"/>
          <w:b/>
          <w:sz w:val="32"/>
          <w:szCs w:val="32"/>
          <w:highlight w:val="none"/>
        </w:rPr>
        <w:br w:type="page"/>
      </w:r>
    </w:p>
    <w:p w14:paraId="4F53E509">
      <w:pPr>
        <w:pStyle w:val="4"/>
        <w:shd w:val="clear" w:color="auto" w:fill="FFFFFF"/>
        <w:spacing w:line="400" w:lineRule="exact"/>
        <w:ind w:left="0" w:firstLine="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示范格式二</w:t>
      </w:r>
    </w:p>
    <w:p w14:paraId="788B6BD7">
      <w:pPr>
        <w:spacing w:line="440" w:lineRule="exact"/>
        <w:ind w:firstLine="3534"/>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授权委托书</w:t>
      </w:r>
    </w:p>
    <w:p w14:paraId="1CDFB523">
      <w:pPr>
        <w:spacing w:line="440" w:lineRule="exac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30404B0E">
      <w:pPr>
        <w:spacing w:line="440" w:lineRule="exac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致</w:t>
      </w:r>
      <w:r>
        <w:rPr>
          <w:rFonts w:hint="eastAsia" w:ascii="宋体" w:hAnsi="宋体" w:eastAsia="宋体" w:cs="宋体"/>
          <w:b/>
          <w:bCs/>
          <w:sz w:val="24"/>
          <w:szCs w:val="24"/>
          <w:highlight w:val="none"/>
          <w:u w:val="single"/>
        </w:rPr>
        <w:t xml:space="preserve">        （采购单位）                    </w:t>
      </w:r>
      <w:r>
        <w:rPr>
          <w:rFonts w:hint="eastAsia" w:ascii="宋体" w:hAnsi="宋体" w:eastAsia="宋体" w:cs="宋体"/>
          <w:b/>
          <w:bCs/>
          <w:sz w:val="24"/>
          <w:szCs w:val="24"/>
          <w:highlight w:val="none"/>
        </w:rPr>
        <w:t>：</w:t>
      </w:r>
    </w:p>
    <w:p w14:paraId="23212A52">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本授权书宣告：</w:t>
      </w:r>
    </w:p>
    <w:p w14:paraId="075E80E2">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委托方：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2EA7C72">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AB2F39C">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C863657">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受托人：姓名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出生日期：</w:t>
      </w:r>
      <w:r>
        <w:rPr>
          <w:rFonts w:hint="eastAsia" w:ascii="宋体" w:hAnsi="宋体" w:eastAsia="宋体" w:cs="宋体"/>
          <w:sz w:val="24"/>
          <w:szCs w:val="24"/>
          <w:highlight w:val="none"/>
          <w:u w:val="single"/>
        </w:rPr>
        <w:t xml:space="preserve">    年  月  </w:t>
      </w:r>
      <w:r>
        <w:rPr>
          <w:rFonts w:hint="eastAsia" w:ascii="宋体" w:hAnsi="宋体" w:eastAsia="宋体" w:cs="宋体"/>
          <w:sz w:val="24"/>
          <w:szCs w:val="24"/>
          <w:highlight w:val="none"/>
        </w:rPr>
        <w:t>日</w:t>
      </w:r>
    </w:p>
    <w:p w14:paraId="4513EE37">
      <w:pPr>
        <w:spacing w:line="440" w:lineRule="exact"/>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所在单位：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 </w:t>
      </w:r>
      <w:r>
        <w:rPr>
          <w:rFonts w:hint="eastAsia" w:ascii="宋体" w:hAnsi="宋体" w:eastAsia="宋体" w:cs="宋体"/>
          <w:sz w:val="24"/>
          <w:szCs w:val="24"/>
          <w:highlight w:val="none"/>
          <w:u w:val="single"/>
        </w:rPr>
        <w:t xml:space="preserve">          </w:t>
      </w:r>
    </w:p>
    <w:p w14:paraId="75897702">
      <w:pPr>
        <w:spacing w:line="440" w:lineRule="exact"/>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 </w:t>
      </w:r>
      <w:r>
        <w:rPr>
          <w:rFonts w:hint="eastAsia" w:ascii="宋体" w:hAnsi="宋体" w:eastAsia="宋体" w:cs="宋体"/>
          <w:sz w:val="24"/>
          <w:szCs w:val="24"/>
          <w:highlight w:val="none"/>
          <w:u w:val="single"/>
        </w:rPr>
        <w:t xml:space="preserve">      </w:t>
      </w:r>
    </w:p>
    <w:p w14:paraId="57F1CF7B">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兹委托受托人代表我单位参加</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的政府采购活动，受托人有权在该招标活动中，以我单位的名义签署投标函和招标文件，与交易中心协商、澄清、解释，签订合同书并执行一切与此有关的事项。</w:t>
      </w:r>
    </w:p>
    <w:p w14:paraId="7204B831">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受托人在办理上述事宜过程中以其自己的名义所签署的所有文件我方均予以承认。受托人无转委托权。</w:t>
      </w:r>
    </w:p>
    <w:p w14:paraId="28DE007A">
      <w:pPr>
        <w:spacing w:line="44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委托期限：至上述事宜处理完毕止。</w:t>
      </w:r>
    </w:p>
    <w:p w14:paraId="5DA81A96">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F40DD7D">
      <w:pPr>
        <w:spacing w:line="360" w:lineRule="auto"/>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45D1B5D">
      <w:pPr>
        <w:spacing w:line="360" w:lineRule="auto"/>
        <w:ind w:firstLine="48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     （电子签章）    </w:t>
      </w:r>
    </w:p>
    <w:p w14:paraId="194E9CE7">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10842061">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8FE38CE">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委托受托人参加投标的，必须附受托人身份证扫描件加盖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电子签章。法定代表人直接参加投标的，仅需填写“法定代表人资格证明”。</w:t>
      </w:r>
    </w:p>
    <w:p w14:paraId="34EC4300">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759F2DF0">
      <w:pPr>
        <w:spacing w:line="440" w:lineRule="exact"/>
        <w:ind w:firstLine="56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701B4D1">
      <w:pPr>
        <w:pStyle w:val="8"/>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55B82A39">
      <w:pPr>
        <w:pStyle w:val="8"/>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31379EA4">
      <w:pPr>
        <w:pStyle w:val="8"/>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14:paraId="79402A3C">
      <w:pPr>
        <w:pStyle w:val="4"/>
        <w:shd w:val="clear" w:color="auto" w:fill="FFFFFF"/>
        <w:spacing w:line="400" w:lineRule="exact"/>
        <w:ind w:left="0" w:firstLine="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示范格式三</w:t>
      </w:r>
    </w:p>
    <w:p w14:paraId="202C35AB">
      <w:pPr>
        <w:spacing w:line="48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 诺 书</w:t>
      </w:r>
    </w:p>
    <w:p w14:paraId="5A780D10">
      <w:pPr>
        <w:spacing w:line="48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符合《中华人民共和国政府采购法》第二十二条规定条件的声明函</w:t>
      </w:r>
    </w:p>
    <w:p w14:paraId="449DEA61">
      <w:pPr>
        <w:spacing w:line="520" w:lineRule="exact"/>
        <w:ind w:firstLine="12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（采购单位）          </w:t>
      </w:r>
      <w:r>
        <w:rPr>
          <w:rFonts w:hint="eastAsia" w:ascii="宋体" w:hAnsi="宋体" w:eastAsia="宋体" w:cs="宋体"/>
          <w:sz w:val="24"/>
          <w:szCs w:val="24"/>
          <w:highlight w:val="none"/>
        </w:rPr>
        <w:t>：</w:t>
      </w:r>
    </w:p>
    <w:p w14:paraId="5BF4A80A">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我公司参加贵中心组织实施的（项目编号：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采购项目的政府采购活动。针对《中华人民共和国政府采购法》第二十二条规定做出如下声明：</w:t>
      </w:r>
    </w:p>
    <w:p w14:paraId="0E1D34F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1、我单位具有独立承担民事责任的能力；</w:t>
      </w:r>
    </w:p>
    <w:p w14:paraId="5F58121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2、我单位具有良好的商业信誉和健全的财务会计制度；</w:t>
      </w:r>
    </w:p>
    <w:p w14:paraId="14BD173C">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3、我单位具有履行合同所必需的设备和专业技术能力；</w:t>
      </w:r>
    </w:p>
    <w:p w14:paraId="0A59B4CB">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4、我单位有依法缴纳税收和社会保障资金的良好记录；</w:t>
      </w:r>
    </w:p>
    <w:p w14:paraId="0FE7C589">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5、参加本次政府采购活动前三年内，我公司在经营活动中没有因违法经营受到刑事处罚或者责令停产停业、吊销许可证或者执照、较大数额罚款等行政处罚。</w:t>
      </w:r>
    </w:p>
    <w:p w14:paraId="0C5B2D34">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6、我方与参加本次采购活动的其他单位不存在单位负责人为同一人的情况，也不存在控股、管理关系的情况；</w:t>
      </w:r>
    </w:p>
    <w:p w14:paraId="32B5CEB6">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7、我方没有为本采购项目提供整体设计、规范编制或者项目管理、检测等服务；</w:t>
      </w:r>
    </w:p>
    <w:p w14:paraId="310031AD">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8、我单位满足法律、行政法规规定的其他条件。</w:t>
      </w:r>
    </w:p>
    <w:p w14:paraId="33FCA008">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9、我方保证上述信息的真实和准确，并愿意承担因我方就此弄虚作假所引起的一切法律后果，并自愿接受相关监管部门作出的任何处罚。</w:t>
      </w:r>
    </w:p>
    <w:p w14:paraId="63FCAA88">
      <w:pPr>
        <w:spacing w:line="5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C8DBDED">
      <w:pPr>
        <w:spacing w:line="52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72DCC1F">
      <w:pPr>
        <w:spacing w:line="520" w:lineRule="exact"/>
        <w:ind w:right="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2208031">
      <w:pPr>
        <w:spacing w:line="520" w:lineRule="exact"/>
        <w:ind w:right="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供应商：（电子签章 ） </w:t>
      </w:r>
    </w:p>
    <w:p w14:paraId="1FC07DA7">
      <w:pPr>
        <w:spacing w:line="520" w:lineRule="exact"/>
        <w:ind w:right="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法定代表人或委托代理人（签字或签章）        </w:t>
      </w:r>
    </w:p>
    <w:p w14:paraId="64291E26">
      <w:pPr>
        <w:pStyle w:val="8"/>
        <w:widowControl/>
        <w:spacing w:line="336" w:lineRule="auto"/>
        <w:jc w:val="center"/>
        <w:rPr>
          <w:rFonts w:hint="eastAsia" w:ascii="宋体" w:hAnsi="宋体" w:eastAsia="宋体" w:cs="宋体"/>
          <w:sz w:val="20"/>
          <w:szCs w:val="20"/>
          <w:highlight w:val="none"/>
        </w:rPr>
        <w:sectPr>
          <w:pgSz w:w="11906" w:h="16838" w:orient="landscape"/>
          <w:pgMar w:top="1440" w:right="1474" w:bottom="1440" w:left="1474" w:header="851" w:footer="992" w:gutter="0"/>
          <w:pgNumType w:fmt="decimal"/>
          <w:cols w:space="720" w:num="1"/>
        </w:sectPr>
      </w:pPr>
      <w:r>
        <w:rPr>
          <w:rFonts w:hint="eastAsia" w:ascii="宋体" w:hAnsi="宋体" w:eastAsia="宋体" w:cs="宋体"/>
          <w:sz w:val="24"/>
          <w:szCs w:val="24"/>
          <w:highlight w:val="none"/>
        </w:rPr>
        <w:t xml:space="preserve">                                       日期：      年   月  日</w:t>
      </w:r>
    </w:p>
    <w:p w14:paraId="3D1DD71C">
      <w:pPr>
        <w:pStyle w:val="4"/>
        <w:shd w:val="clear" w:color="auto" w:fill="FFFFFF"/>
        <w:spacing w:line="400" w:lineRule="exact"/>
        <w:ind w:left="0" w:firstLine="0"/>
        <w:rPr>
          <w:rFonts w:hint="eastAsia" w:ascii="宋体" w:hAnsi="宋体" w:eastAsia="宋体" w:cs="宋体"/>
          <w:color w:val="auto"/>
          <w:sz w:val="30"/>
          <w:szCs w:val="30"/>
          <w:highlight w:val="none"/>
        </w:rPr>
      </w:pPr>
      <w:bookmarkStart w:id="17" w:name="_Toc12956505"/>
      <w:bookmarkEnd w:id="17"/>
      <w:bookmarkStart w:id="18" w:name="_Toc49352288"/>
      <w:r>
        <w:rPr>
          <w:rFonts w:hint="eastAsia" w:ascii="宋体" w:hAnsi="宋体" w:eastAsia="宋体" w:cs="宋体"/>
          <w:color w:val="auto"/>
          <w:sz w:val="30"/>
          <w:szCs w:val="30"/>
          <w:highlight w:val="none"/>
        </w:rPr>
        <w:t>示范格式四</w:t>
      </w:r>
      <w:bookmarkEnd w:id="18"/>
    </w:p>
    <w:p w14:paraId="4CAF1C52">
      <w:pPr>
        <w:spacing w:line="520" w:lineRule="exact"/>
        <w:jc w:val="center"/>
        <w:rPr>
          <w:rFonts w:hint="eastAsia" w:ascii="宋体" w:hAnsi="宋体" w:eastAsia="宋体" w:cs="宋体"/>
          <w:b/>
          <w:bCs/>
          <w:sz w:val="32"/>
          <w:szCs w:val="32"/>
          <w:highlight w:val="none"/>
        </w:rPr>
      </w:pPr>
      <w:r>
        <w:rPr>
          <w:rFonts w:hint="eastAsia" w:ascii="宋体" w:hAnsi="宋体" w:eastAsia="宋体" w:cs="宋体"/>
          <w:b/>
          <w:sz w:val="28"/>
          <w:szCs w:val="28"/>
          <w:highlight w:val="none"/>
        </w:rPr>
        <w:t>中小企业声明函（</w:t>
      </w:r>
      <w:r>
        <w:rPr>
          <w:rFonts w:hint="eastAsia" w:ascii="宋体" w:hAnsi="宋体" w:eastAsia="宋体" w:cs="宋体"/>
          <w:b/>
          <w:sz w:val="28"/>
          <w:szCs w:val="28"/>
          <w:highlight w:val="none"/>
          <w:lang w:val="en-US" w:eastAsia="zh-CN"/>
        </w:rPr>
        <w:t>工程、服务</w:t>
      </w:r>
      <w:r>
        <w:rPr>
          <w:rFonts w:hint="eastAsia" w:ascii="宋体" w:hAnsi="宋体" w:eastAsia="宋体" w:cs="宋体"/>
          <w:b/>
          <w:sz w:val="28"/>
          <w:szCs w:val="28"/>
          <w:highlight w:val="none"/>
        </w:rPr>
        <w:t>）</w:t>
      </w:r>
    </w:p>
    <w:p w14:paraId="52BA28BE">
      <w:pPr>
        <w:pStyle w:val="5"/>
        <w:spacing w:line="600" w:lineRule="exact"/>
        <w:ind w:firstLine="560"/>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w:t>
      </w:r>
      <w:r>
        <w:rPr>
          <w:rFonts w:hint="eastAsia" w:ascii="宋体" w:hAnsi="宋体" w:eastAsia="宋体" w:cs="宋体"/>
          <w:bCs/>
          <w:sz w:val="28"/>
          <w:szCs w:val="28"/>
          <w:highlight w:val="none"/>
          <w:u w:val="single"/>
        </w:rPr>
        <w:t xml:space="preserve">         （采购人）：</w:t>
      </w:r>
    </w:p>
    <w:p w14:paraId="67588ED6">
      <w:pPr>
        <w:pStyle w:val="5"/>
        <w:spacing w:line="60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本公司郑重声明，根据《政府采购促进中小企业发展管理办法》（财库﹝2021﹞46 号）的规定，本公司参加</w:t>
      </w:r>
      <w:r>
        <w:rPr>
          <w:rFonts w:hint="eastAsia" w:ascii="宋体" w:hAnsi="宋体" w:eastAsia="宋体" w:cs="宋体"/>
          <w:bCs/>
          <w:sz w:val="24"/>
          <w:szCs w:val="24"/>
          <w:highlight w:val="none"/>
          <w:u w:val="single"/>
        </w:rPr>
        <w:t>（单位名称）</w:t>
      </w:r>
      <w:r>
        <w:rPr>
          <w:rFonts w:hint="eastAsia" w:ascii="宋体" w:hAnsi="宋体" w:eastAsia="宋体" w:cs="宋体"/>
          <w:bCs/>
          <w:sz w:val="24"/>
          <w:szCs w:val="24"/>
          <w:highlight w:val="none"/>
        </w:rPr>
        <w:t>的</w:t>
      </w:r>
      <w:r>
        <w:rPr>
          <w:rFonts w:hint="eastAsia" w:ascii="宋体" w:hAnsi="宋体" w:eastAsia="宋体" w:cs="宋体"/>
          <w:bCs/>
          <w:sz w:val="24"/>
          <w:szCs w:val="24"/>
          <w:highlight w:val="none"/>
          <w:u w:val="single"/>
        </w:rPr>
        <w:t>（项目名称）</w:t>
      </w:r>
      <w:r>
        <w:rPr>
          <w:rFonts w:hint="eastAsia" w:ascii="宋体" w:hAnsi="宋体" w:eastAsia="宋体" w:cs="宋体"/>
          <w:bCs/>
          <w:sz w:val="24"/>
          <w:szCs w:val="24"/>
          <w:highlight w:val="none"/>
        </w:rPr>
        <w:t>采购活动，服务全部由符合政策要求的中小企业承接。相关企业的具体情况如下：</w:t>
      </w:r>
    </w:p>
    <w:p w14:paraId="124191AD">
      <w:pPr>
        <w:pStyle w:val="5"/>
        <w:spacing w:line="60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u w:val="single"/>
        </w:rPr>
        <w:t xml:space="preserve"> （标的名称） </w:t>
      </w:r>
      <w:r>
        <w:rPr>
          <w:rFonts w:hint="eastAsia" w:ascii="宋体" w:hAnsi="宋体" w:eastAsia="宋体" w:cs="宋体"/>
          <w:bCs/>
          <w:sz w:val="24"/>
          <w:szCs w:val="24"/>
          <w:highlight w:val="none"/>
        </w:rPr>
        <w:t>，属于（采购文件中明确的所属行业）；承接企业为（企业名称），从业人员</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人，营业收入为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万元，资产总额为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万元，属于</w:t>
      </w:r>
      <w:r>
        <w:rPr>
          <w:rFonts w:hint="eastAsia" w:ascii="宋体" w:hAnsi="宋体" w:eastAsia="宋体" w:cs="宋体"/>
          <w:bCs/>
          <w:sz w:val="24"/>
          <w:szCs w:val="24"/>
          <w:highlight w:val="none"/>
          <w:u w:val="single"/>
        </w:rPr>
        <w:t>（中型企业、小型企业、微型企业）</w:t>
      </w:r>
      <w:r>
        <w:rPr>
          <w:rFonts w:hint="eastAsia" w:ascii="宋体" w:hAnsi="宋体" w:eastAsia="宋体" w:cs="宋体"/>
          <w:bCs/>
          <w:sz w:val="24"/>
          <w:szCs w:val="24"/>
          <w:highlight w:val="none"/>
        </w:rPr>
        <w:t xml:space="preserve">； </w:t>
      </w:r>
    </w:p>
    <w:p w14:paraId="491F9028">
      <w:pPr>
        <w:pStyle w:val="5"/>
        <w:spacing w:line="51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 </w:t>
      </w:r>
      <w:r>
        <w:rPr>
          <w:rFonts w:hint="eastAsia" w:ascii="宋体" w:hAnsi="宋体" w:eastAsia="宋体" w:cs="宋体"/>
          <w:bCs/>
          <w:sz w:val="24"/>
          <w:szCs w:val="24"/>
          <w:highlight w:val="none"/>
          <w:u w:val="single"/>
        </w:rPr>
        <w:t xml:space="preserve">（标的名称） </w:t>
      </w:r>
      <w:r>
        <w:rPr>
          <w:rFonts w:hint="eastAsia" w:ascii="宋体" w:hAnsi="宋体" w:eastAsia="宋体" w:cs="宋体"/>
          <w:bCs/>
          <w:sz w:val="24"/>
          <w:szCs w:val="24"/>
          <w:highlight w:val="none"/>
        </w:rPr>
        <w:t>，属于（采购文件中明确的所属行业）；承接企业为（企业名称），从业人员</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人，营业收入为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万元，资产总额为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万元，属于</w:t>
      </w:r>
      <w:r>
        <w:rPr>
          <w:rFonts w:hint="eastAsia" w:ascii="宋体" w:hAnsi="宋体" w:eastAsia="宋体" w:cs="宋体"/>
          <w:bCs/>
          <w:sz w:val="24"/>
          <w:szCs w:val="24"/>
          <w:highlight w:val="none"/>
          <w:u w:val="single"/>
        </w:rPr>
        <w:t>（中型企业、小型企业、微型企业）</w:t>
      </w:r>
      <w:r>
        <w:rPr>
          <w:rFonts w:hint="eastAsia" w:ascii="宋体" w:hAnsi="宋体" w:eastAsia="宋体" w:cs="宋体"/>
          <w:bCs/>
          <w:sz w:val="24"/>
          <w:szCs w:val="24"/>
          <w:highlight w:val="none"/>
        </w:rPr>
        <w:t xml:space="preserve">； </w:t>
      </w:r>
    </w:p>
    <w:p w14:paraId="246C4F4D">
      <w:pPr>
        <w:pStyle w:val="5"/>
        <w:spacing w:line="51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p w14:paraId="386DA5C5">
      <w:pPr>
        <w:pStyle w:val="5"/>
        <w:spacing w:line="51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以上企业，不属于大企业的分支机构，不存在控股股东为大企业的情形，也不存在与大企业的负责人为同一人的情形。</w:t>
      </w:r>
    </w:p>
    <w:p w14:paraId="69ACBDD9">
      <w:pPr>
        <w:pStyle w:val="5"/>
        <w:spacing w:line="51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本企业对上述声明内容的真实性负责。如有虚假，将依法承担相应责任。 </w:t>
      </w:r>
    </w:p>
    <w:p w14:paraId="51926945">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（电子签章）     </w:t>
      </w:r>
    </w:p>
    <w:p w14:paraId="7D416C38">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法定代表人：</w:t>
      </w:r>
      <w:r>
        <w:rPr>
          <w:rFonts w:hint="eastAsia" w:ascii="宋体" w:hAnsi="宋体" w:eastAsia="宋体" w:cs="宋体"/>
          <w:sz w:val="28"/>
          <w:szCs w:val="28"/>
          <w:highlight w:val="none"/>
          <w:u w:val="single"/>
        </w:rPr>
        <w:t>（电子签章或电子签字）</w:t>
      </w:r>
    </w:p>
    <w:p w14:paraId="0A3AAEF5">
      <w:pPr>
        <w:spacing w:line="64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日期：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6E07CEA8">
      <w:pPr>
        <w:pStyle w:val="5"/>
        <w:spacing w:line="600" w:lineRule="exact"/>
        <w:ind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rPr>
        <w:t>注：从业人员、营业收入、资产总额填报上一年度数据，无上一年度数据的新成立企业可不填报。</w:t>
      </w:r>
    </w:p>
    <w:p w14:paraId="47AB3806">
      <w:pPr>
        <w:rPr>
          <w:rFonts w:hint="eastAsia" w:ascii="宋体" w:hAnsi="宋体" w:eastAsia="宋体" w:cs="宋体"/>
          <w:highlight w:val="none"/>
        </w:rPr>
      </w:pPr>
      <w:r>
        <w:rPr>
          <w:rFonts w:hint="eastAsia" w:ascii="宋体" w:hAnsi="宋体" w:eastAsia="宋体" w:cs="宋体"/>
          <w:highlight w:val="none"/>
        </w:rPr>
        <w:br w:type="page"/>
      </w:r>
    </w:p>
    <w:p w14:paraId="5EEAAE83">
      <w:pPr>
        <w:pStyle w:val="4"/>
        <w:shd w:val="clear" w:color="auto" w:fill="FFFFFF"/>
        <w:spacing w:line="400" w:lineRule="exact"/>
        <w:ind w:left="0" w:firstLine="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示范格式五</w:t>
      </w:r>
    </w:p>
    <w:p w14:paraId="1BBF7ABE">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残疾人福利性单位声明函</w:t>
      </w:r>
    </w:p>
    <w:p w14:paraId="46AC7B13">
      <w:pPr>
        <w:spacing w:line="400" w:lineRule="exact"/>
        <w:ind w:firstLine="50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p>
    <w:p w14:paraId="1982C8C5">
      <w:pPr>
        <w:pStyle w:val="5"/>
        <w:spacing w:line="64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致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（采购人）：</w:t>
      </w:r>
    </w:p>
    <w:p w14:paraId="7C30858D">
      <w:pPr>
        <w:pStyle w:val="5"/>
        <w:spacing w:line="64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本单位郑重声明，根据《财政部 民政部 中国残疾人联合会关于促进残疾人就业政府采购政策的通知》（财库〔2017〕141 号）的规定，本单位为符合条件的残疾人福利性单位。即，本单位同时满足以下条件：</w:t>
      </w:r>
    </w:p>
    <w:p w14:paraId="4958FD6E">
      <w:pPr>
        <w:pStyle w:val="5"/>
        <w:spacing w:line="64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1、根据《财政部 民政部 中国残疾人联合会关于促进残疾人就业政府采购政策的通知》（财库〔2017〕141 号）规定的划分标准，本公司为残疾人福利性企业。</w:t>
      </w:r>
    </w:p>
    <w:p w14:paraId="18BB737A">
      <w:pPr>
        <w:pStyle w:val="5"/>
        <w:spacing w:line="640" w:lineRule="exact"/>
        <w:ind w:firstLine="56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2、本单位参加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（采购单位名称）的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（采购项目名称）采购活动提供本企业制造的货物，由本企业承担工程、提供服务，或者提供其他残疾人福利性单位制造的货物不包括使用非残疾人福利性单位注册商标的货物。</w:t>
      </w:r>
    </w:p>
    <w:p w14:paraId="77653104">
      <w:pPr>
        <w:pStyle w:val="5"/>
        <w:spacing w:line="640" w:lineRule="exact"/>
        <w:ind w:firstLine="560"/>
        <w:rPr>
          <w:rFonts w:hint="eastAsia" w:ascii="宋体" w:hAnsi="宋体" w:eastAsia="宋体" w:cs="宋体"/>
          <w:bCs/>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bCs/>
          <w:sz w:val="24"/>
          <w:szCs w:val="24"/>
          <w:highlight w:val="none"/>
        </w:rPr>
        <w:t>本公司对上述声明的真实性负责。如有虚假，将依法承担相应责任。</w:t>
      </w:r>
    </w:p>
    <w:p w14:paraId="6C0BCFB2">
      <w:pPr>
        <w:pStyle w:val="5"/>
        <w:spacing w:line="64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606D07F">
      <w:pPr>
        <w:spacing w:line="6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（电子签章）     </w:t>
      </w:r>
    </w:p>
    <w:p w14:paraId="3F7D407A">
      <w:pPr>
        <w:spacing w:line="6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（电子签章或电子签字）</w:t>
      </w:r>
    </w:p>
    <w:p w14:paraId="21B012BD">
      <w:pPr>
        <w:spacing w:line="6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383B5EB">
      <w:pPr>
        <w:spacing w:line="640" w:lineRule="exact"/>
        <w:ind w:firstLine="566"/>
        <w:rPr>
          <w:rFonts w:hint="eastAsia" w:ascii="宋体" w:hAnsi="宋体" w:eastAsia="宋体" w:cs="宋体"/>
          <w:sz w:val="24"/>
          <w:szCs w:val="24"/>
          <w:highlight w:val="none"/>
        </w:rPr>
      </w:pPr>
      <w:r>
        <w:rPr>
          <w:rFonts w:hint="eastAsia" w:ascii="宋体" w:hAnsi="宋体" w:eastAsia="宋体" w:cs="宋体"/>
          <w:sz w:val="24"/>
          <w:szCs w:val="24"/>
          <w:highlight w:val="none"/>
        </w:rPr>
        <w:t>注：非残疾人福利性单位不需提供此函。</w:t>
      </w:r>
    </w:p>
    <w:p w14:paraId="0ED7CB84">
      <w:pPr>
        <w:pStyle w:val="20"/>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CE48826">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4C8F9AA">
      <w:pPr>
        <w:rPr>
          <w:rFonts w:hint="eastAsia" w:ascii="宋体" w:hAnsi="宋体" w:eastAsia="宋体" w:cs="宋体"/>
          <w:highlight w:val="none"/>
        </w:rPr>
      </w:pPr>
      <w:r>
        <w:rPr>
          <w:rFonts w:hint="eastAsia" w:ascii="宋体" w:hAnsi="宋体" w:eastAsia="宋体" w:cs="宋体"/>
          <w:highlight w:val="none"/>
        </w:rPr>
        <w:t xml:space="preserve"> </w:t>
      </w:r>
    </w:p>
    <w:p w14:paraId="78D07841">
      <w:pPr>
        <w:rPr>
          <w:rFonts w:hint="eastAsia" w:ascii="宋体" w:hAnsi="宋体" w:eastAsia="宋体" w:cs="宋体"/>
          <w:highlight w:val="none"/>
        </w:rPr>
      </w:pPr>
    </w:p>
    <w:p w14:paraId="1DDC5631">
      <w:pPr>
        <w:rPr>
          <w:rFonts w:hint="eastAsia" w:ascii="宋体" w:hAnsi="宋体" w:eastAsia="宋体" w:cs="宋体"/>
          <w:highlight w:val="none"/>
        </w:rPr>
      </w:pPr>
    </w:p>
    <w:p w14:paraId="2CF41B98">
      <w:pPr>
        <w:rPr>
          <w:highlight w:val="none"/>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dobe 仿宋 Std R">
    <w:altName w:val="仿宋"/>
    <w:panose1 w:val="02020400000000000000"/>
    <w:charset w:val="86"/>
    <w:family w:val="auto"/>
    <w:pitch w:val="default"/>
    <w:sig w:usb0="00000000" w:usb1="00000000" w:usb2="00000016" w:usb3="00000000" w:csb0="00060007"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141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2623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E2623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28A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1FB07">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1FB07">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82DFD"/>
    <w:multiLevelType w:val="singleLevel"/>
    <w:tmpl w:val="84D82DFD"/>
    <w:lvl w:ilvl="0" w:tentative="0">
      <w:start w:val="1"/>
      <w:numFmt w:val="decimal"/>
      <w:suff w:val="nothing"/>
      <w:lvlText w:val="（%1）"/>
      <w:lvlJc w:val="left"/>
    </w:lvl>
  </w:abstractNum>
  <w:abstractNum w:abstractNumId="1">
    <w:nsid w:val="88BF6333"/>
    <w:multiLevelType w:val="singleLevel"/>
    <w:tmpl w:val="88BF6333"/>
    <w:lvl w:ilvl="0" w:tentative="0">
      <w:start w:val="1"/>
      <w:numFmt w:val="decimal"/>
      <w:suff w:val="nothing"/>
      <w:lvlText w:val="（%1）"/>
      <w:lvlJc w:val="left"/>
    </w:lvl>
  </w:abstractNum>
  <w:abstractNum w:abstractNumId="2">
    <w:nsid w:val="C48D71EA"/>
    <w:multiLevelType w:val="singleLevel"/>
    <w:tmpl w:val="C48D71EA"/>
    <w:lvl w:ilvl="0" w:tentative="0">
      <w:start w:val="1"/>
      <w:numFmt w:val="decimal"/>
      <w:suff w:val="nothing"/>
      <w:lvlText w:val="（%1）"/>
      <w:lvlJc w:val="left"/>
    </w:lvl>
  </w:abstractNum>
  <w:abstractNum w:abstractNumId="3">
    <w:nsid w:val="E328D1BB"/>
    <w:multiLevelType w:val="singleLevel"/>
    <w:tmpl w:val="E328D1BB"/>
    <w:lvl w:ilvl="0" w:tentative="0">
      <w:start w:val="3"/>
      <w:numFmt w:val="chineseCounting"/>
      <w:suff w:val="nothing"/>
      <w:lvlText w:val="%1、"/>
      <w:lvlJc w:val="left"/>
      <w:rPr>
        <w:rFonts w:hint="eastAsia"/>
      </w:rPr>
    </w:lvl>
  </w:abstractNum>
  <w:abstractNum w:abstractNumId="4">
    <w:nsid w:val="1FE60278"/>
    <w:multiLevelType w:val="multilevel"/>
    <w:tmpl w:val="1FE60278"/>
    <w:lvl w:ilvl="0" w:tentative="0">
      <w:start w:val="3"/>
      <w:numFmt w:val="chineseCounting"/>
      <w:suff w:val="nothing"/>
      <w:lvlText w:val="（%1）"/>
      <w:lvlJc w:val="left"/>
      <w:pPr>
        <w:ind w:left="0" w:firstLine="0"/>
      </w:pPr>
      <w:rPr>
        <w:rFonts w:hint="eastAsia" w:ascii="宋体" w:hAnsi="宋体" w:eastAsia="宋体"/>
      </w:rPr>
    </w:lvl>
    <w:lvl w:ilvl="1" w:tentative="0">
      <w:start w:val="1"/>
      <w:numFmt w:val="bullet"/>
      <w:suff w:val="space"/>
      <w:lvlText w:val="o"/>
      <w:lvlJc w:val="left"/>
      <w:pPr>
        <w:ind w:left="1440" w:hanging="360"/>
      </w:pPr>
      <w:rPr>
        <w:rFonts w:hint="default" w:ascii="Courier New" w:hAnsi="Courier New" w:cs="Courier New"/>
      </w:rPr>
    </w:lvl>
    <w:lvl w:ilvl="2" w:tentative="0">
      <w:start w:val="1"/>
      <w:numFmt w:val="bullet"/>
      <w:suff w:val="space"/>
      <w:lvlText w:val="§"/>
      <w:lvlJc w:val="left"/>
      <w:pPr>
        <w:ind w:left="2160" w:hanging="360"/>
      </w:pPr>
      <w:rPr>
        <w:rFonts w:hint="default" w:ascii="Wingdings" w:hAnsi="Wingdings"/>
      </w:rPr>
    </w:lvl>
    <w:lvl w:ilvl="3" w:tentative="0">
      <w:start w:val="1"/>
      <w:numFmt w:val="bullet"/>
      <w:suff w:val="space"/>
      <w:lvlText w:val="·"/>
      <w:lvlJc w:val="left"/>
      <w:pPr>
        <w:ind w:left="2880" w:hanging="360"/>
      </w:pPr>
      <w:rPr>
        <w:rFonts w:hint="default" w:ascii="Symbol" w:hAnsi="Symbol"/>
      </w:rPr>
    </w:lvl>
    <w:lvl w:ilvl="4" w:tentative="0">
      <w:start w:val="1"/>
      <w:numFmt w:val="bullet"/>
      <w:suff w:val="space"/>
      <w:lvlText w:val="o"/>
      <w:lvlJc w:val="left"/>
      <w:pPr>
        <w:ind w:left="3600" w:hanging="360"/>
      </w:pPr>
      <w:rPr>
        <w:rFonts w:hint="default" w:ascii="Courier New" w:hAnsi="Courier New" w:cs="Courier New"/>
      </w:rPr>
    </w:lvl>
    <w:lvl w:ilvl="5" w:tentative="0">
      <w:start w:val="1"/>
      <w:numFmt w:val="bullet"/>
      <w:suff w:val="space"/>
      <w:lvlText w:val="§"/>
      <w:lvlJc w:val="left"/>
      <w:pPr>
        <w:ind w:left="4320" w:hanging="360"/>
      </w:pPr>
      <w:rPr>
        <w:rFonts w:hint="default" w:ascii="Wingdings" w:hAnsi="Wingdings"/>
      </w:rPr>
    </w:lvl>
    <w:lvl w:ilvl="6" w:tentative="0">
      <w:start w:val="1"/>
      <w:numFmt w:val="bullet"/>
      <w:suff w:val="space"/>
      <w:lvlText w:val="·"/>
      <w:lvlJc w:val="left"/>
      <w:pPr>
        <w:ind w:left="5040" w:hanging="360"/>
      </w:pPr>
      <w:rPr>
        <w:rFonts w:hint="default" w:ascii="Symbol" w:hAnsi="Symbol"/>
      </w:rPr>
    </w:lvl>
    <w:lvl w:ilvl="7" w:tentative="0">
      <w:start w:val="1"/>
      <w:numFmt w:val="bullet"/>
      <w:suff w:val="space"/>
      <w:lvlText w:val="o"/>
      <w:lvlJc w:val="left"/>
      <w:pPr>
        <w:ind w:left="5760" w:hanging="360"/>
      </w:pPr>
      <w:rPr>
        <w:rFonts w:hint="default" w:ascii="Courier New" w:hAnsi="Courier New" w:cs="Courier New"/>
      </w:rPr>
    </w:lvl>
    <w:lvl w:ilvl="8" w:tentative="0">
      <w:start w:val="1"/>
      <w:numFmt w:val="bullet"/>
      <w:suff w:val="space"/>
      <w:lvlText w:val="§"/>
      <w:lvlJc w:val="left"/>
      <w:pPr>
        <w:ind w:left="6480" w:hanging="360"/>
      </w:pPr>
      <w:rPr>
        <w:rFonts w:hint="default" w:ascii="Wingdings" w:hAnsi="Wingdings"/>
      </w:rPr>
    </w:lvl>
  </w:abstractNum>
  <w:abstractNum w:abstractNumId="5">
    <w:nsid w:val="30C40405"/>
    <w:multiLevelType w:val="singleLevel"/>
    <w:tmpl w:val="30C40405"/>
    <w:lvl w:ilvl="0" w:tentative="0">
      <w:start w:val="1"/>
      <w:numFmt w:val="decimal"/>
      <w:suff w:val="nothing"/>
      <w:lvlText w:val="（%1）"/>
      <w:lvlJc w:val="left"/>
    </w:lvl>
  </w:abstractNum>
  <w:abstractNum w:abstractNumId="6">
    <w:nsid w:val="42B49573"/>
    <w:multiLevelType w:val="singleLevel"/>
    <w:tmpl w:val="42B49573"/>
    <w:lvl w:ilvl="0" w:tentative="0">
      <w:start w:val="3"/>
      <w:numFmt w:val="chineseCounting"/>
      <w:suff w:val="space"/>
      <w:lvlText w:val="第%1条"/>
      <w:lvlJc w:val="left"/>
      <w:rPr>
        <w:rFonts w:hint="eastAsia"/>
      </w:rPr>
    </w:lvl>
  </w:abstractNum>
  <w:abstractNum w:abstractNumId="7">
    <w:nsid w:val="783BD381"/>
    <w:multiLevelType w:val="singleLevel"/>
    <w:tmpl w:val="783BD381"/>
    <w:lvl w:ilvl="0" w:tentative="0">
      <w:start w:val="1"/>
      <w:numFmt w:val="decimal"/>
      <w:suff w:val="nothing"/>
      <w:lvlText w:val="（%1）"/>
      <w:lvlJc w:val="left"/>
    </w:lvl>
  </w:abstractNum>
  <w:abstractNum w:abstractNumId="8">
    <w:nsid w:val="7BFD07CD"/>
    <w:multiLevelType w:val="singleLevel"/>
    <w:tmpl w:val="7BFD07CD"/>
    <w:lvl w:ilvl="0" w:tentative="0">
      <w:start w:val="1"/>
      <w:numFmt w:val="decimal"/>
      <w:suff w:val="nothing"/>
      <w:lvlText w:val="（%1）"/>
      <w:lvlJc w:val="left"/>
    </w:lvl>
  </w:abstractNum>
  <w:num w:numId="1">
    <w:abstractNumId w:val="4"/>
    <w:lvlOverride w:ilvl="0">
      <w:startOverride w:val="3"/>
    </w:lvlOverride>
  </w:num>
  <w:num w:numId="2">
    <w:abstractNumId w:val="6"/>
  </w:num>
  <w:num w:numId="3">
    <w:abstractNumId w:val="5"/>
  </w:num>
  <w:num w:numId="4">
    <w:abstractNumId w:val="7"/>
  </w:num>
  <w:num w:numId="5">
    <w:abstractNumId w:val="1"/>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C5D60"/>
    <w:rsid w:val="21101F0A"/>
    <w:rsid w:val="2FA61D56"/>
    <w:rsid w:val="3C157564"/>
    <w:rsid w:val="45DB36CD"/>
    <w:rsid w:val="4C9A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99"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99"/>
    <w:pPr>
      <w:keepNext/>
      <w:keepLines/>
      <w:spacing w:before="480" w:after="200"/>
      <w:outlineLvl w:val="0"/>
    </w:pPr>
    <w:rPr>
      <w:rFonts w:ascii="Arial" w:hAnsi="Arial" w:cs="Arial"/>
      <w:sz w:val="40"/>
      <w:szCs w:val="40"/>
    </w:rPr>
  </w:style>
  <w:style w:type="paragraph" w:styleId="3">
    <w:name w:val="heading 2"/>
    <w:basedOn w:val="1"/>
    <w:next w:val="1"/>
    <w:qFormat/>
    <w:uiPriority w:val="99"/>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qFormat/>
    <w:uiPriority w:val="99"/>
    <w:pPr>
      <w:keepNext/>
      <w:keepLines/>
      <w:spacing w:before="260" w:after="260" w:line="408" w:lineRule="auto"/>
      <w:ind w:left="720" w:hanging="720"/>
      <w:outlineLvl w:val="2"/>
    </w:pPr>
    <w:rPr>
      <w:rFonts w:ascii="宋体" w:hAnsi="宋体" w:cs="宋体"/>
      <w:b/>
      <w:color w:val="00000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200"/>
    </w:pPr>
    <w:rPr>
      <w:sz w:val="20"/>
      <w:szCs w:val="20"/>
    </w:rPr>
  </w:style>
  <w:style w:type="paragraph" w:styleId="6">
    <w:name w:val="Body Text"/>
    <w:basedOn w:val="1"/>
    <w:unhideWhenUsed/>
    <w:qFormat/>
    <w:uiPriority w:val="99"/>
    <w:pPr>
      <w:jc w:val="center"/>
    </w:pPr>
    <w:rPr>
      <w:rFonts w:eastAsia="仿宋_GB2312"/>
      <w:sz w:val="28"/>
      <w:szCs w:val="28"/>
    </w:rPr>
  </w:style>
  <w:style w:type="paragraph" w:styleId="7">
    <w:name w:val="Block Text"/>
    <w:basedOn w:val="1"/>
    <w:qFormat/>
    <w:uiPriority w:val="0"/>
    <w:pPr>
      <w:adjustRightInd w:val="0"/>
      <w:ind w:left="420" w:right="33"/>
      <w:jc w:val="left"/>
      <w:textAlignment w:val="baseline"/>
    </w:pPr>
    <w:rPr>
      <w:kern w:val="0"/>
      <w:sz w:val="24"/>
      <w:szCs w:val="20"/>
    </w:rPr>
  </w:style>
  <w:style w:type="paragraph" w:styleId="8">
    <w:name w:val="Plain Text"/>
    <w:basedOn w:val="1"/>
    <w:unhideWhenUsed/>
    <w:qFormat/>
    <w:uiPriority w:val="99"/>
    <w:rPr>
      <w:rFonts w:ascii="宋体" w:hAnsi="宋体" w:cs="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6"/>
    <w:basedOn w:val="1"/>
    <w:next w:val="1"/>
    <w:unhideWhenUsed/>
    <w:qFormat/>
    <w:uiPriority w:val="99"/>
    <w:pPr>
      <w:spacing w:before="100" w:beforeAutospacing="1" w:after="100" w:afterAutospacing="1"/>
      <w:ind w:left="1050"/>
      <w:jc w:val="left"/>
    </w:pPr>
    <w:rPr>
      <w:sz w:val="18"/>
      <w:szCs w:val="18"/>
    </w:rPr>
  </w:style>
  <w:style w:type="paragraph" w:styleId="11">
    <w:name w:val="Normal (Web)"/>
    <w:basedOn w:val="1"/>
    <w:unhideWhenUsed/>
    <w:qFormat/>
    <w:uiPriority w:val="99"/>
    <w:pPr>
      <w:spacing w:before="100" w:beforeAutospacing="1" w:after="100" w:afterAutospacing="1"/>
      <w:jc w:val="left"/>
    </w:pPr>
    <w:rPr>
      <w:sz w:val="24"/>
      <w:szCs w:val="24"/>
    </w:rPr>
  </w:style>
  <w:style w:type="paragraph" w:styleId="12">
    <w:name w:val="Body Text First Indent"/>
    <w:basedOn w:val="6"/>
    <w:unhideWhenUsed/>
    <w:qFormat/>
    <w:uiPriority w:val="99"/>
    <w:pPr>
      <w:spacing w:before="100" w:beforeAutospacing="1" w:after="120"/>
      <w:ind w:firstLine="420"/>
    </w:pPr>
    <w:rPr>
      <w:rFonts w:ascii="Calibri" w:hAnsi="Calibri" w:eastAsia="宋体" w:cs="宋体"/>
      <w:sz w:val="21"/>
      <w:szCs w:val="21"/>
    </w:rPr>
  </w:style>
  <w:style w:type="table" w:styleId="1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Normal]"/>
    <w:basedOn w:val="1"/>
    <w:autoRedefine/>
    <w:qFormat/>
    <w:uiPriority w:val="0"/>
    <w:pPr>
      <w:widowControl/>
      <w:jc w:val="left"/>
    </w:pPr>
    <w:rPr>
      <w:rFonts w:ascii="方正仿宋简体" w:hAnsi="方正仿宋简体" w:cs="Courier New"/>
      <w:sz w:val="24"/>
      <w:szCs w:val="24"/>
    </w:rPr>
  </w:style>
  <w:style w:type="paragraph" w:customStyle="1" w:styleId="17">
    <w:name w:val="标题 21"/>
    <w:basedOn w:val="1"/>
    <w:next w:val="1"/>
    <w:autoRedefine/>
    <w:qFormat/>
    <w:uiPriority w:val="0"/>
    <w:pPr>
      <w:keepNext/>
      <w:keepLines/>
      <w:spacing w:before="260" w:after="260" w:line="412" w:lineRule="auto"/>
      <w:outlineLvl w:val="1"/>
    </w:pPr>
    <w:rPr>
      <w:rFonts w:ascii="Arial" w:hAnsi="Arial" w:eastAsia="黑体" w:cs="Arial"/>
      <w:b/>
      <w:sz w:val="32"/>
      <w:szCs w:val="32"/>
    </w:rPr>
  </w:style>
  <w:style w:type="character" w:customStyle="1" w:styleId="18">
    <w:name w:val="15"/>
    <w:basedOn w:val="15"/>
    <w:autoRedefine/>
    <w:qFormat/>
    <w:uiPriority w:val="0"/>
    <w:rPr>
      <w:rFonts w:hint="eastAsia" w:ascii="宋体" w:hAnsi="宋体" w:eastAsia="宋体"/>
      <w:b/>
      <w:color w:val="000000"/>
      <w:sz w:val="32"/>
      <w:szCs w:val="32"/>
    </w:rPr>
  </w:style>
  <w:style w:type="paragraph" w:customStyle="1" w:styleId="19">
    <w:name w:val="表格内容"/>
    <w:qFormat/>
    <w:uiPriority w:val="0"/>
    <w:rPr>
      <w:rFonts w:ascii="Calibri" w:hAnsi="Calibri" w:eastAsia="宋体" w:cs="Times New Roman"/>
      <w:kern w:val="2"/>
      <w:sz w:val="18"/>
      <w:szCs w:val="21"/>
      <w:lang w:val="en-US" w:eastAsia="zh-CN" w:bidi="ar-SA"/>
    </w:rPr>
  </w:style>
  <w:style w:type="paragraph" w:customStyle="1" w:styleId="20">
    <w:name w:val="正文1"/>
    <w:basedOn w:val="21"/>
    <w:autoRedefine/>
    <w:qFormat/>
    <w:uiPriority w:val="0"/>
    <w:pPr>
      <w:spacing w:before="120" w:beforeAutospacing="0" w:after="120" w:afterAutospacing="0"/>
      <w:ind w:firstLine="200"/>
      <w:contextualSpacing/>
    </w:pPr>
    <w:rPr>
      <w:rFonts w:ascii="Times New Roman" w:hAnsi="Times New Roman" w:eastAsia="Adobe 仿宋 Std R" w:cs="Times New Roman"/>
    </w:rPr>
  </w:style>
  <w:style w:type="paragraph" w:customStyle="1" w:styleId="21">
    <w:name w:val="样式1"/>
    <w:basedOn w:val="1"/>
    <w:autoRedefine/>
    <w:qFormat/>
    <w:uiPriority w:val="0"/>
    <w:pPr>
      <w:spacing w:before="100" w:beforeAutospacing="1" w:after="100" w:afterAutospacing="1"/>
      <w:ind w:left="432" w:firstLine="288"/>
    </w:pPr>
    <w:rPr>
      <w:rFonts w:ascii="宋体" w:hAnsi="宋体" w:cs="宋体"/>
    </w:rPr>
  </w:style>
  <w:style w:type="paragraph" w:customStyle="1" w:styleId="22">
    <w:name w:val="纯文本111"/>
    <w:basedOn w:val="1"/>
    <w:qFormat/>
    <w:uiPriority w:val="0"/>
    <w:rPr>
      <w:rFonts w:ascii="宋体" w:hAnsi="Courier New"/>
      <w:szCs w:val="20"/>
    </w:rPr>
  </w:style>
  <w:style w:type="paragraph" w:customStyle="1" w:styleId="23">
    <w:name w:val="普通正文"/>
    <w:basedOn w:val="1"/>
    <w:autoRedefine/>
    <w:qFormat/>
    <w:uiPriority w:val="0"/>
    <w:pPr>
      <w:spacing w:before="120" w:after="120" w:line="360" w:lineRule="auto"/>
      <w:ind w:firstLine="480"/>
      <w:jc w:val="left"/>
    </w:pPr>
    <w:rPr>
      <w:rFonts w:ascii="Arial" w:hAnsi="Arial" w:cs="Arial"/>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15825</Words>
  <Characters>16977</Characters>
  <Lines>0</Lines>
  <Paragraphs>0</Paragraphs>
  <TotalTime>30</TotalTime>
  <ScaleCrop>false</ScaleCrop>
  <LinksUpToDate>false</LinksUpToDate>
  <CharactersWithSpaces>17250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2025-12-16T07:44:00Z</dcterms:created>
  <dc:creator>xyjsxy</dc:creator>
  <cp:lastModifiedBy>邵发财</cp:lastModifiedBy>
  <dcterms:modified xsi:type="dcterms:W3CDTF">2025-12-16T08:58:47Z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eyJoZGlkIjoiMDk0MDI1OGU1NzE4Nzg5ODQxZTYwOGE5YzI0YmFkODciLCJ1c2VySWQiOiIyNDY2MDIxMzAifQ==</vt:lpwstr>
  </property>
  <property fmtid="{D5CDD505-2E9C-101B-9397-08002B2CF9AE}" pid="4" name="ICV">
    <vt:lpwstr>0F9D7C0DB1A2498C856C17A2EA8DE171_12</vt:lpwstr>
  </property>
</Properties>
</file>